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340B9" w14:textId="29143744" w:rsidR="00A04494" w:rsidRDefault="00A04494" w:rsidP="00A04494">
      <w:pPr>
        <w:pStyle w:val="Heading1"/>
        <w:jc w:val="right"/>
        <w:rPr>
          <w:rFonts w:ascii="Arial" w:hAnsi="Arial" w:cs="Arial"/>
          <w:caps/>
          <w:color w:val="auto"/>
          <w:szCs w:val="24"/>
        </w:rPr>
      </w:pPr>
      <w:bookmarkStart w:id="0" w:name="_Toc505778386"/>
      <w:r w:rsidRPr="007377E6">
        <w:rPr>
          <w:rFonts w:ascii="Arial" w:hAnsi="Arial" w:cs="Arial"/>
          <w:caps/>
          <w:color w:val="auto"/>
          <w:szCs w:val="24"/>
        </w:rPr>
        <w:t xml:space="preserve">APPENDIX </w:t>
      </w:r>
      <w:r w:rsidR="007377E6" w:rsidRPr="007377E6">
        <w:rPr>
          <w:rFonts w:ascii="Arial" w:hAnsi="Arial" w:cs="Arial"/>
          <w:caps/>
          <w:color w:val="auto"/>
          <w:szCs w:val="24"/>
        </w:rPr>
        <w:t>B</w:t>
      </w:r>
      <w:r w:rsidR="00653C24" w:rsidRPr="007377E6">
        <w:rPr>
          <w:rFonts w:ascii="Arial" w:hAnsi="Arial" w:cs="Arial"/>
          <w:caps/>
          <w:color w:val="auto"/>
          <w:szCs w:val="24"/>
        </w:rPr>
        <w:t>2</w:t>
      </w:r>
    </w:p>
    <w:p w14:paraId="592EAD1D" w14:textId="1E42249C" w:rsidR="00E004D2" w:rsidRDefault="00E004D2" w:rsidP="00E004D2">
      <w:pPr>
        <w:pStyle w:val="Heading1"/>
        <w:rPr>
          <w:rFonts w:ascii="Arial" w:hAnsi="Arial" w:cs="Arial"/>
          <w:caps/>
          <w:sz w:val="24"/>
          <w:szCs w:val="24"/>
        </w:rPr>
      </w:pPr>
      <w:r>
        <w:rPr>
          <w:rFonts w:ascii="Arial" w:hAnsi="Arial" w:cs="Arial"/>
          <w:caps/>
          <w:color w:val="auto"/>
          <w:szCs w:val="24"/>
        </w:rPr>
        <w:t>Risks to Medium Term Financial Strategy</w:t>
      </w:r>
      <w:bookmarkEnd w:id="0"/>
      <w:r>
        <w:rPr>
          <w:rFonts w:ascii="Arial" w:hAnsi="Arial" w:cs="Arial"/>
          <w:caps/>
          <w:color w:val="auto"/>
          <w:sz w:val="24"/>
          <w:szCs w:val="24"/>
        </w:rPr>
        <w:tab/>
      </w:r>
    </w:p>
    <w:p w14:paraId="6EB419FC" w14:textId="14D52B98" w:rsidR="00E004D2" w:rsidRDefault="00E004D2" w:rsidP="00E004D2">
      <w:pPr>
        <w:rPr>
          <w:rFonts w:cs="Arial"/>
          <w:szCs w:val="24"/>
        </w:rPr>
      </w:pPr>
    </w:p>
    <w:p w14:paraId="0E55BA55" w14:textId="2BBCD3AB" w:rsidR="00E004D2" w:rsidRDefault="00E004D2" w:rsidP="00E004D2">
      <w:pPr>
        <w:rPr>
          <w:rFonts w:cs="Arial"/>
          <w:sz w:val="22"/>
          <w:szCs w:val="24"/>
        </w:rPr>
      </w:pPr>
      <w:r>
        <w:rPr>
          <w:rFonts w:cs="Arial"/>
          <w:sz w:val="22"/>
          <w:szCs w:val="24"/>
        </w:rPr>
        <w:t xml:space="preserve">The Medium-Term Financial Strategy outlines how the </w:t>
      </w:r>
      <w:r w:rsidR="00760223">
        <w:rPr>
          <w:rFonts w:cs="Arial"/>
          <w:sz w:val="22"/>
          <w:szCs w:val="24"/>
        </w:rPr>
        <w:t>c</w:t>
      </w:r>
      <w:r>
        <w:rPr>
          <w:rFonts w:cs="Arial"/>
          <w:sz w:val="22"/>
          <w:szCs w:val="24"/>
        </w:rPr>
        <w:t>ouncil will achieve its corporate strateg</w:t>
      </w:r>
      <w:r w:rsidR="00350CFA">
        <w:rPr>
          <w:rFonts w:cs="Arial"/>
          <w:sz w:val="22"/>
          <w:szCs w:val="24"/>
        </w:rPr>
        <w:t>ic</w:t>
      </w:r>
      <w:r>
        <w:rPr>
          <w:rFonts w:cs="Arial"/>
          <w:sz w:val="22"/>
          <w:szCs w:val="24"/>
        </w:rPr>
        <w:t xml:space="preserve"> priorities whilst recognising the budgetary pressures </w:t>
      </w:r>
      <w:r w:rsidR="00350CFA">
        <w:rPr>
          <w:rFonts w:cs="Arial"/>
          <w:sz w:val="22"/>
          <w:szCs w:val="24"/>
        </w:rPr>
        <w:t>of that are expected over</w:t>
      </w:r>
      <w:r>
        <w:rPr>
          <w:rFonts w:cs="Arial"/>
          <w:sz w:val="22"/>
          <w:szCs w:val="24"/>
        </w:rPr>
        <w:t xml:space="preserve"> the coming 3 years. Within the strategy are </w:t>
      </w:r>
      <w:proofErr w:type="gramStart"/>
      <w:r>
        <w:rPr>
          <w:rFonts w:cs="Arial"/>
          <w:sz w:val="22"/>
          <w:szCs w:val="24"/>
        </w:rPr>
        <w:t>a number of</w:t>
      </w:r>
      <w:proofErr w:type="gramEnd"/>
      <w:r>
        <w:rPr>
          <w:rFonts w:cs="Arial"/>
          <w:sz w:val="22"/>
          <w:szCs w:val="24"/>
        </w:rPr>
        <w:t xml:space="preserve"> risks that are outlined below</w:t>
      </w:r>
      <w:r w:rsidR="00350CFA">
        <w:rPr>
          <w:rFonts w:cs="Arial"/>
          <w:sz w:val="22"/>
          <w:szCs w:val="24"/>
        </w:rPr>
        <w:t>;</w:t>
      </w:r>
    </w:p>
    <w:p w14:paraId="09DA0402" w14:textId="636C1001" w:rsidR="00E004D2" w:rsidRDefault="00E004D2" w:rsidP="00E004D2">
      <w:pPr>
        <w:pStyle w:val="Heading2"/>
        <w:rPr>
          <w:rFonts w:ascii="Arial" w:hAnsi="Arial" w:cs="Arial"/>
          <w:color w:val="auto"/>
          <w:sz w:val="24"/>
          <w:szCs w:val="24"/>
        </w:rPr>
      </w:pPr>
      <w:bookmarkStart w:id="1" w:name="_Toc505778387"/>
      <w:r>
        <w:rPr>
          <w:rFonts w:ascii="Arial" w:hAnsi="Arial" w:cs="Arial"/>
          <w:color w:val="auto"/>
          <w:sz w:val="24"/>
          <w:szCs w:val="24"/>
        </w:rPr>
        <w:t>RISKS TO REVENUE BUDGET</w:t>
      </w:r>
      <w:bookmarkEnd w:id="1"/>
    </w:p>
    <w:p w14:paraId="0BD86BE4" w14:textId="681655B6" w:rsidR="00E004D2" w:rsidRDefault="00E004D2" w:rsidP="00E004D2">
      <w:pPr>
        <w:rPr>
          <w:rFonts w:cs="Arial"/>
          <w:szCs w:val="24"/>
        </w:rPr>
      </w:pPr>
    </w:p>
    <w:p w14:paraId="08AFAEEC" w14:textId="3ECFB5C5" w:rsidR="00E004D2" w:rsidRDefault="00E004D2" w:rsidP="00E004D2">
      <w:pPr>
        <w:rPr>
          <w:rFonts w:cs="Arial"/>
          <w:b/>
          <w:color w:val="943634" w:themeColor="accent2" w:themeShade="BF"/>
          <w:szCs w:val="24"/>
          <w:u w:val="single"/>
        </w:rPr>
      </w:pPr>
      <w:r>
        <w:rPr>
          <w:rFonts w:cs="Arial"/>
          <w:b/>
          <w:color w:val="943634" w:themeColor="accent2" w:themeShade="BF"/>
          <w:szCs w:val="24"/>
          <w:u w:val="single"/>
        </w:rPr>
        <w:t>HIGH RISK</w:t>
      </w:r>
    </w:p>
    <w:p w14:paraId="56D643D6" w14:textId="50F62528" w:rsidR="00E004D2" w:rsidRDefault="00A04494" w:rsidP="00E004D2">
      <w:pPr>
        <w:rPr>
          <w:rFonts w:cs="Arial"/>
          <w:szCs w:val="24"/>
          <w:u w:val="single"/>
        </w:rPr>
      </w:pPr>
      <w:r>
        <w:rPr>
          <w:noProof/>
        </w:rPr>
        <mc:AlternateContent>
          <mc:Choice Requires="wps">
            <w:drawing>
              <wp:anchor distT="0" distB="0" distL="114300" distR="114300" simplePos="0" relativeHeight="251662336" behindDoc="0" locked="0" layoutInCell="1" allowOverlap="1" wp14:anchorId="1DF14EA6" wp14:editId="7AA414F2">
                <wp:simplePos x="0" y="0"/>
                <wp:positionH relativeFrom="margin">
                  <wp:posOffset>-304800</wp:posOffset>
                </wp:positionH>
                <wp:positionV relativeFrom="paragraph">
                  <wp:posOffset>197486</wp:posOffset>
                </wp:positionV>
                <wp:extent cx="6572250" cy="6991350"/>
                <wp:effectExtent l="19050" t="19050" r="19050" b="19050"/>
                <wp:wrapNone/>
                <wp:docPr id="10" name="Text Box 10"/>
                <wp:cNvGraphicFramePr/>
                <a:graphic xmlns:a="http://schemas.openxmlformats.org/drawingml/2006/main">
                  <a:graphicData uri="http://schemas.microsoft.com/office/word/2010/wordprocessingShape">
                    <wps:wsp>
                      <wps:cNvSpPr txBox="1"/>
                      <wps:spPr>
                        <a:xfrm>
                          <a:off x="0" y="0"/>
                          <a:ext cx="6572250" cy="6991350"/>
                        </a:xfrm>
                        <a:prstGeom prst="rect">
                          <a:avLst/>
                        </a:prstGeom>
                        <a:solidFill>
                          <a:schemeClr val="accent2">
                            <a:lumMod val="40000"/>
                            <a:lumOff val="60000"/>
                            <a:alpha val="39000"/>
                          </a:schemeClr>
                        </a:solidFill>
                        <a:ln w="3810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AAD5453" w14:textId="47EB6DEA" w:rsidR="0044067F" w:rsidRDefault="0044067F" w:rsidP="00E004D2">
                            <w:pPr>
                              <w:rPr>
                                <w:rFonts w:cs="Arial"/>
                                <w:b/>
                                <w:sz w:val="22"/>
                              </w:rPr>
                            </w:pPr>
                            <w:r>
                              <w:rPr>
                                <w:rFonts w:cs="Arial"/>
                                <w:b/>
                                <w:sz w:val="22"/>
                              </w:rPr>
                              <w:t>Changes to the Business Rates Retention Scheme and the Fair Funding Review</w:t>
                            </w:r>
                          </w:p>
                          <w:p w14:paraId="2DE47FBA" w14:textId="77777777" w:rsidR="0044067F" w:rsidRDefault="0044067F" w:rsidP="00E004D2">
                            <w:pPr>
                              <w:rPr>
                                <w:rFonts w:cs="Arial"/>
                                <w:b/>
                                <w:sz w:val="22"/>
                              </w:rPr>
                            </w:pPr>
                          </w:p>
                          <w:p w14:paraId="148AD2A5" w14:textId="77777777" w:rsidR="0044067F" w:rsidRDefault="0044067F" w:rsidP="004B14C0">
                            <w:pPr>
                              <w:pBdr>
                                <w:top w:val="single" w:sz="2" w:space="1" w:color="FFFFFF"/>
                                <w:left w:val="single" w:sz="2" w:space="0" w:color="FFFFFF"/>
                                <w:bottom w:val="single" w:sz="2" w:space="2" w:color="FFFFFF"/>
                                <w:right w:val="single" w:sz="2" w:space="4" w:color="FFFFFF"/>
                              </w:pBdr>
                              <w:tabs>
                                <w:tab w:val="left" w:pos="567"/>
                              </w:tabs>
                              <w:ind w:right="141"/>
                              <w:rPr>
                                <w:sz w:val="22"/>
                              </w:rPr>
                            </w:pPr>
                            <w:r>
                              <w:rPr>
                                <w:sz w:val="22"/>
                              </w:rPr>
                              <w:t xml:space="preserve">Forecasting the level of business rates income beyond 2022/23 remains complicated due to the level of uncertainty in this area. Following various government announcements, councils have been expecting reforms to the business rates system for over four years. </w:t>
                            </w:r>
                            <w:r>
                              <w:rPr>
                                <w:sz w:val="22"/>
                                <w:szCs w:val="22"/>
                              </w:rPr>
                              <w:t>In March 2020, the government published the Terms of Reference for the Business Rates Review, setting out that the objectives of this were to reduce the overall burden on business, to improve the current business rates system and to consider more fundamental changes in the medium-to-long term. In March 2021, the government published the Interim Report of the review, with the final report issued in October 2021</w:t>
                            </w:r>
                          </w:p>
                          <w:p w14:paraId="2CBFC069" w14:textId="77777777" w:rsidR="0044067F" w:rsidRDefault="0044067F" w:rsidP="004B14C0">
                            <w:pPr>
                              <w:pStyle w:val="ListParagraph"/>
                              <w:rPr>
                                <w:sz w:val="22"/>
                                <w:szCs w:val="22"/>
                              </w:rPr>
                            </w:pPr>
                          </w:p>
                          <w:p w14:paraId="53454606" w14:textId="77777777" w:rsidR="0044067F" w:rsidRDefault="0044067F" w:rsidP="004B14C0">
                            <w:pPr>
                              <w:pBdr>
                                <w:top w:val="single" w:sz="2" w:space="1" w:color="FFFFFF"/>
                                <w:left w:val="single" w:sz="2" w:space="0" w:color="FFFFFF"/>
                                <w:bottom w:val="single" w:sz="2" w:space="2" w:color="FFFFFF"/>
                                <w:right w:val="single" w:sz="2" w:space="4" w:color="FFFFFF"/>
                              </w:pBdr>
                              <w:tabs>
                                <w:tab w:val="left" w:pos="567"/>
                              </w:tabs>
                              <w:ind w:right="141"/>
                              <w:rPr>
                                <w:sz w:val="22"/>
                                <w:szCs w:val="22"/>
                              </w:rPr>
                            </w:pPr>
                            <w:r>
                              <w:rPr>
                                <w:sz w:val="22"/>
                                <w:szCs w:val="22"/>
                              </w:rPr>
                              <w:t>The government has concluded from their review;</w:t>
                            </w:r>
                          </w:p>
                          <w:p w14:paraId="3A2E0106" w14:textId="77777777" w:rsidR="0044067F" w:rsidRDefault="0044067F" w:rsidP="004B14C0">
                            <w:pPr>
                              <w:numPr>
                                <w:ilvl w:val="0"/>
                                <w:numId w:val="24"/>
                              </w:numPr>
                              <w:pBdr>
                                <w:top w:val="single" w:sz="2" w:space="1" w:color="FFFFFF"/>
                                <w:left w:val="single" w:sz="2" w:space="0" w:color="FFFFFF"/>
                                <w:bottom w:val="single" w:sz="2" w:space="2" w:color="FFFFFF"/>
                                <w:right w:val="single" w:sz="2" w:space="4" w:color="FFFFFF"/>
                              </w:pBdr>
                              <w:tabs>
                                <w:tab w:val="clear" w:pos="567"/>
                                <w:tab w:val="num" w:pos="1134"/>
                              </w:tabs>
                              <w:ind w:left="1134" w:right="141"/>
                              <w:rPr>
                                <w:sz w:val="22"/>
                                <w:szCs w:val="22"/>
                              </w:rPr>
                            </w:pPr>
                            <w:r>
                              <w:rPr>
                                <w:sz w:val="22"/>
                                <w:szCs w:val="22"/>
                              </w:rPr>
                              <w:t>that business rates are a vital component of the business tax mix;</w:t>
                            </w:r>
                          </w:p>
                          <w:p w14:paraId="11EA0E56" w14:textId="77777777" w:rsidR="0044067F" w:rsidRDefault="0044067F" w:rsidP="004B14C0">
                            <w:pPr>
                              <w:numPr>
                                <w:ilvl w:val="0"/>
                                <w:numId w:val="24"/>
                              </w:numPr>
                              <w:pBdr>
                                <w:top w:val="single" w:sz="2" w:space="1" w:color="FFFFFF"/>
                                <w:left w:val="single" w:sz="2" w:space="0" w:color="FFFFFF"/>
                                <w:bottom w:val="single" w:sz="2" w:space="2" w:color="FFFFFF"/>
                                <w:right w:val="single" w:sz="2" w:space="4" w:color="FFFFFF"/>
                              </w:pBdr>
                              <w:tabs>
                                <w:tab w:val="clear" w:pos="567"/>
                                <w:tab w:val="num" w:pos="1134"/>
                              </w:tabs>
                              <w:ind w:left="1134" w:right="141"/>
                              <w:rPr>
                                <w:sz w:val="22"/>
                                <w:szCs w:val="22"/>
                              </w:rPr>
                            </w:pPr>
                            <w:r>
                              <w:rPr>
                                <w:sz w:val="22"/>
                                <w:szCs w:val="22"/>
                              </w:rPr>
                              <w:t>that they wish to preserve the benefits of business rates but will make changes to make their operation fairer and more effective for businesses;</w:t>
                            </w:r>
                          </w:p>
                          <w:p w14:paraId="5B34B3D6" w14:textId="77777777" w:rsidR="0044067F" w:rsidRDefault="0044067F" w:rsidP="004B14C0">
                            <w:pPr>
                              <w:numPr>
                                <w:ilvl w:val="0"/>
                                <w:numId w:val="24"/>
                              </w:numPr>
                              <w:pBdr>
                                <w:top w:val="single" w:sz="2" w:space="1" w:color="FFFFFF"/>
                                <w:left w:val="single" w:sz="2" w:space="0" w:color="FFFFFF"/>
                                <w:bottom w:val="single" w:sz="2" w:space="2" w:color="FFFFFF"/>
                                <w:right w:val="single" w:sz="2" w:space="4" w:color="FFFFFF"/>
                              </w:pBdr>
                              <w:tabs>
                                <w:tab w:val="clear" w:pos="567"/>
                                <w:tab w:val="num" w:pos="1134"/>
                              </w:tabs>
                              <w:ind w:left="1134" w:right="141"/>
                              <w:rPr>
                                <w:sz w:val="22"/>
                                <w:szCs w:val="22"/>
                              </w:rPr>
                            </w:pPr>
                            <w:r>
                              <w:rPr>
                                <w:sz w:val="22"/>
                                <w:szCs w:val="22"/>
                              </w:rPr>
                              <w:t>that they are not proposing changing the nature of the tax, or the basis of valuation;</w:t>
                            </w:r>
                          </w:p>
                          <w:p w14:paraId="0FE3F43C" w14:textId="77777777" w:rsidR="0044067F" w:rsidRDefault="0044067F" w:rsidP="004B14C0">
                            <w:pPr>
                              <w:numPr>
                                <w:ilvl w:val="0"/>
                                <w:numId w:val="25"/>
                              </w:numPr>
                              <w:pBdr>
                                <w:top w:val="single" w:sz="2" w:space="1" w:color="FFFFFF"/>
                                <w:left w:val="single" w:sz="2" w:space="0" w:color="FFFFFF"/>
                                <w:bottom w:val="single" w:sz="2" w:space="2" w:color="FFFFFF"/>
                                <w:right w:val="single" w:sz="2" w:space="4" w:color="FFFFFF"/>
                              </w:pBdr>
                              <w:ind w:right="141"/>
                              <w:rPr>
                                <w:sz w:val="22"/>
                              </w:rPr>
                            </w:pPr>
                            <w:r>
                              <w:rPr>
                                <w:sz w:val="22"/>
                                <w:szCs w:val="22"/>
                              </w:rPr>
                              <w:t xml:space="preserve">moving forward, they have concluded that increasing the frequency of revaluations would represent a fundamental and meaningful improvement to the business rates system and would help to ensure greater distributional fairness; currently, revaluations are scheduled to take place every 5 years although in practice, and due in part to the pandemic, these have only taken place about every 6-7 years. As such government has announced a 3-yearly cycle for business rates revaluations, starting from the next revaluation in 2023. </w:t>
                            </w:r>
                          </w:p>
                          <w:p w14:paraId="76F9CF9B" w14:textId="39E09540" w:rsidR="0044067F" w:rsidRDefault="0044067F" w:rsidP="004B14C0">
                            <w:pPr>
                              <w:pBdr>
                                <w:top w:val="single" w:sz="2" w:space="1" w:color="FFFFFF"/>
                                <w:left w:val="single" w:sz="2" w:space="0" w:color="FFFFFF"/>
                                <w:bottom w:val="single" w:sz="2" w:space="2" w:color="FFFFFF"/>
                                <w:right w:val="single" w:sz="2" w:space="4" w:color="FFFFFF"/>
                              </w:pBdr>
                              <w:ind w:right="141"/>
                              <w:rPr>
                                <w:sz w:val="22"/>
                              </w:rPr>
                            </w:pPr>
                            <w:proofErr w:type="gramStart"/>
                            <w:r>
                              <w:rPr>
                                <w:sz w:val="22"/>
                              </w:rPr>
                              <w:t>In light of</w:t>
                            </w:r>
                            <w:proofErr w:type="gramEnd"/>
                            <w:r>
                              <w:rPr>
                                <w:sz w:val="22"/>
                              </w:rPr>
                              <w:t xml:space="preserve"> the above, the quantum of business rates that will remain available to the council after the reset is uncertain. </w:t>
                            </w:r>
                            <w:r>
                              <w:rPr>
                                <w:sz w:val="22"/>
                                <w:szCs w:val="22"/>
                              </w:rPr>
                              <w:t>It is likely that</w:t>
                            </w:r>
                            <w:r>
                              <w:rPr>
                                <w:sz w:val="22"/>
                              </w:rPr>
                              <w:t xml:space="preserve"> the level of funding that councils retain from business rates will be reviewed across the country as part of the government’s ‘levelling up’ agenda. This is expected to flow from the outcome of the Fair Funding </w:t>
                            </w:r>
                            <w:proofErr w:type="gramStart"/>
                            <w:r>
                              <w:rPr>
                                <w:sz w:val="22"/>
                              </w:rPr>
                              <w:t>Review,</w:t>
                            </w:r>
                            <w:proofErr w:type="gramEnd"/>
                            <w:r>
                              <w:rPr>
                                <w:sz w:val="22"/>
                              </w:rPr>
                              <w:t xml:space="preserve"> however no date has been set for these reforms. As such, in the absence of any further information, the budget assumes the council will retain the current level of business rates enjoyed as part of the Lancashire Pool throughout the </w:t>
                            </w:r>
                            <w:proofErr w:type="gramStart"/>
                            <w:r>
                              <w:rPr>
                                <w:sz w:val="22"/>
                              </w:rPr>
                              <w:t>three year</w:t>
                            </w:r>
                            <w:proofErr w:type="gramEnd"/>
                            <w:r>
                              <w:rPr>
                                <w:sz w:val="22"/>
                              </w:rPr>
                              <w:t xml:space="preserve"> period of the MTFS.</w:t>
                            </w:r>
                          </w:p>
                          <w:p w14:paraId="11F9422B" w14:textId="77777777" w:rsidR="0044067F" w:rsidRDefault="0044067F" w:rsidP="00E004D2">
                            <w:pPr>
                              <w:rPr>
                                <w:rFonts w:cs="Arial"/>
                                <w:sz w:val="22"/>
                              </w:rPr>
                            </w:pPr>
                          </w:p>
                          <w:p w14:paraId="226C3474" w14:textId="2C2CD7EA" w:rsidR="0044067F" w:rsidRDefault="0044067F" w:rsidP="00E004D2">
                            <w:pPr>
                              <w:rPr>
                                <w:rFonts w:cs="Arial"/>
                                <w:b/>
                                <w:sz w:val="22"/>
                              </w:rPr>
                            </w:pPr>
                            <w:r>
                              <w:rPr>
                                <w:rFonts w:cs="Arial"/>
                                <w:b/>
                                <w:sz w:val="22"/>
                              </w:rPr>
                              <w:t>Post-Covid Recovery</w:t>
                            </w:r>
                          </w:p>
                          <w:p w14:paraId="4F63EF98" w14:textId="77777777" w:rsidR="0044067F" w:rsidRDefault="0044067F" w:rsidP="00E004D2">
                            <w:pPr>
                              <w:rPr>
                                <w:rFonts w:cs="Arial"/>
                                <w:b/>
                                <w:sz w:val="22"/>
                              </w:rPr>
                            </w:pPr>
                          </w:p>
                          <w:p w14:paraId="2C250EE6" w14:textId="270FB13D" w:rsidR="0044067F" w:rsidRDefault="0044067F" w:rsidP="00E004D2">
                            <w:pPr>
                              <w:rPr>
                                <w:rFonts w:cs="Arial"/>
                                <w:bCs/>
                                <w:sz w:val="22"/>
                              </w:rPr>
                            </w:pPr>
                            <w:r w:rsidRPr="00974A39">
                              <w:rPr>
                                <w:rFonts w:cs="Arial"/>
                                <w:bCs/>
                                <w:sz w:val="22"/>
                              </w:rPr>
                              <w:t xml:space="preserve">The pandemic has impacted on the council finances as well as the wider economic environment. This has created uncertainty in the MTFS. </w:t>
                            </w:r>
                          </w:p>
                          <w:p w14:paraId="24B94F58" w14:textId="77777777" w:rsidR="0044067F" w:rsidRDefault="0044067F" w:rsidP="00E004D2">
                            <w:pPr>
                              <w:rPr>
                                <w:rFonts w:cs="Arial"/>
                                <w:bCs/>
                                <w:sz w:val="22"/>
                                <w:szCs w:val="22"/>
                              </w:rPr>
                            </w:pPr>
                          </w:p>
                          <w:p w14:paraId="55230327" w14:textId="31FCE666" w:rsidR="0044067F" w:rsidRDefault="0044067F" w:rsidP="00E004D2">
                            <w:pPr>
                              <w:rPr>
                                <w:rFonts w:cs="Arial"/>
                                <w:sz w:val="22"/>
                                <w:szCs w:val="22"/>
                              </w:rPr>
                            </w:pPr>
                            <w:r>
                              <w:rPr>
                                <w:rFonts w:cs="Arial"/>
                                <w:sz w:val="22"/>
                                <w:szCs w:val="22"/>
                              </w:rPr>
                              <w:t xml:space="preserve">To help manage this uncertainty the council has set aside reserves from government grant funding, received; </w:t>
                            </w:r>
                          </w:p>
                          <w:p w14:paraId="242533D3" w14:textId="412D4458" w:rsidR="0044067F" w:rsidRPr="005418CC" w:rsidRDefault="0044067F" w:rsidP="00974A39">
                            <w:pPr>
                              <w:numPr>
                                <w:ilvl w:val="1"/>
                                <w:numId w:val="23"/>
                              </w:numPr>
                              <w:pBdr>
                                <w:top w:val="single" w:sz="2" w:space="1" w:color="FFFFFF"/>
                                <w:left w:val="single" w:sz="2" w:space="0" w:color="FFFFFF"/>
                                <w:bottom w:val="single" w:sz="2" w:space="2" w:color="FFFFFF"/>
                                <w:right w:val="single" w:sz="2" w:space="4" w:color="FFFFFF"/>
                              </w:pBdr>
                              <w:tabs>
                                <w:tab w:val="left" w:pos="567"/>
                              </w:tabs>
                              <w:ind w:right="141"/>
                              <w:rPr>
                                <w:bCs/>
                                <w:iCs/>
                                <w:sz w:val="22"/>
                              </w:rPr>
                            </w:pPr>
                            <w:r w:rsidRPr="005418CC">
                              <w:rPr>
                                <w:bCs/>
                                <w:iCs/>
                                <w:sz w:val="22"/>
                              </w:rPr>
                              <w:t>£</w:t>
                            </w:r>
                            <w:r w:rsidR="005418CC" w:rsidRPr="005418CC">
                              <w:rPr>
                                <w:bCs/>
                                <w:iCs/>
                                <w:sz w:val="22"/>
                              </w:rPr>
                              <w:t>675</w:t>
                            </w:r>
                            <w:r w:rsidRPr="005418CC">
                              <w:rPr>
                                <w:bCs/>
                                <w:iCs/>
                                <w:sz w:val="22"/>
                              </w:rPr>
                              <w:t>k Covid-19 recovery reserves</w:t>
                            </w:r>
                          </w:p>
                          <w:p w14:paraId="00A3C408" w14:textId="3415AC41" w:rsidR="005418CC" w:rsidRPr="005418CC" w:rsidRDefault="005418CC" w:rsidP="00974A39">
                            <w:pPr>
                              <w:numPr>
                                <w:ilvl w:val="1"/>
                                <w:numId w:val="23"/>
                              </w:numPr>
                              <w:pBdr>
                                <w:top w:val="single" w:sz="2" w:space="1" w:color="FFFFFF"/>
                                <w:left w:val="single" w:sz="2" w:space="0" w:color="FFFFFF"/>
                                <w:bottom w:val="single" w:sz="2" w:space="2" w:color="FFFFFF"/>
                                <w:right w:val="single" w:sz="2" w:space="4" w:color="FFFFFF"/>
                              </w:pBdr>
                              <w:tabs>
                                <w:tab w:val="left" w:pos="567"/>
                              </w:tabs>
                              <w:ind w:right="141"/>
                              <w:rPr>
                                <w:bCs/>
                                <w:iCs/>
                                <w:sz w:val="22"/>
                              </w:rPr>
                            </w:pPr>
                            <w:r w:rsidRPr="005418CC">
                              <w:rPr>
                                <w:bCs/>
                                <w:iCs/>
                                <w:sz w:val="22"/>
                              </w:rPr>
                              <w:t>£104k Covid-19 ongoing commitments</w:t>
                            </w:r>
                          </w:p>
                          <w:p w14:paraId="3821977C" w14:textId="57A52F77" w:rsidR="0044067F" w:rsidRDefault="0044067F" w:rsidP="00E004D2">
                            <w:pPr>
                              <w:rPr>
                                <w:rFonts w:cs="Arial"/>
                                <w:sz w:val="22"/>
                                <w:szCs w:val="22"/>
                              </w:rPr>
                            </w:pPr>
                            <w:r>
                              <w:rPr>
                                <w:rFonts w:cs="Arial"/>
                                <w:sz w:val="22"/>
                                <w:szCs w:val="22"/>
                              </w:rPr>
                              <w:t xml:space="preserve">These reserves will help the council manage the Covid recovery period however the full, medium-term impact of this recovery is not yet clearly understood. This could impact further on council expenditure, </w:t>
                            </w:r>
                            <w:proofErr w:type="gramStart"/>
                            <w:r>
                              <w:rPr>
                                <w:rFonts w:cs="Arial"/>
                                <w:sz w:val="22"/>
                                <w:szCs w:val="22"/>
                              </w:rPr>
                              <w:t>income</w:t>
                            </w:r>
                            <w:proofErr w:type="gramEnd"/>
                            <w:r>
                              <w:rPr>
                                <w:rFonts w:cs="Arial"/>
                                <w:sz w:val="22"/>
                                <w:szCs w:val="22"/>
                              </w:rPr>
                              <w:t xml:space="preserve"> and government funding 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14EA6" id="_x0000_t202" coordsize="21600,21600" o:spt="202" path="m,l,21600r21600,l21600,xe">
                <v:stroke joinstyle="miter"/>
                <v:path gradientshapeok="t" o:connecttype="rect"/>
              </v:shapetype>
              <v:shape id="Text Box 10" o:spid="_x0000_s1026" type="#_x0000_t202" style="position:absolute;left:0;text-align:left;margin-left:-24pt;margin-top:15.55pt;width:517.5pt;height:5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" fillcolor="#e5b8b7 [1301]" strokecolor="#943634 [2405]" strokeweight="3pt">
                <v:fill opacity="25443f"/>
                <v:textbox>
                  <w:txbxContent>
                    <w:p w14:paraId="5AAD5453" w14:textId="47EB6DEA" w:rsidR="0044067F" w:rsidRDefault="0044067F" w:rsidP="00E004D2">
                      <w:pPr>
                        <w:rPr>
                          <w:rFonts w:cs="Arial"/>
                          <w:b/>
                          <w:sz w:val="22"/>
                        </w:rPr>
                      </w:pPr>
                      <w:r>
                        <w:rPr>
                          <w:rFonts w:cs="Arial"/>
                          <w:b/>
                          <w:sz w:val="22"/>
                        </w:rPr>
                        <w:t>Changes to the Business Rates Retention Scheme and the Fair Funding Review</w:t>
                      </w:r>
                    </w:p>
                    <w:p w14:paraId="2DE47FBA" w14:textId="77777777" w:rsidR="0044067F" w:rsidRDefault="0044067F" w:rsidP="00E004D2">
                      <w:pPr>
                        <w:rPr>
                          <w:rFonts w:cs="Arial"/>
                          <w:b/>
                          <w:sz w:val="22"/>
                        </w:rPr>
                      </w:pPr>
                    </w:p>
                    <w:p w14:paraId="148AD2A5" w14:textId="77777777" w:rsidR="0044067F" w:rsidRDefault="0044067F" w:rsidP="004B14C0">
                      <w:pPr>
                        <w:pBdr>
                          <w:top w:val="single" w:sz="2" w:space="1" w:color="FFFFFF"/>
                          <w:left w:val="single" w:sz="2" w:space="0" w:color="FFFFFF"/>
                          <w:bottom w:val="single" w:sz="2" w:space="2" w:color="FFFFFF"/>
                          <w:right w:val="single" w:sz="2" w:space="4" w:color="FFFFFF"/>
                        </w:pBdr>
                        <w:tabs>
                          <w:tab w:val="left" w:pos="567"/>
                        </w:tabs>
                        <w:ind w:right="141"/>
                        <w:rPr>
                          <w:sz w:val="22"/>
                        </w:rPr>
                      </w:pPr>
                      <w:r>
                        <w:rPr>
                          <w:sz w:val="22"/>
                        </w:rPr>
                        <w:t xml:space="preserve">Forecasting the level of business rates income beyond 2022/23 remains complicated due to the level of uncertainty in this area. Following various government announcements, councils have been expecting reforms to the business rates system for over four years. </w:t>
                      </w:r>
                      <w:r>
                        <w:rPr>
                          <w:sz w:val="22"/>
                          <w:szCs w:val="22"/>
                        </w:rPr>
                        <w:t>In March 2020, the government published the Terms of Reference for the Business Rates Review, setting out that the objectives of this were to reduce the overall burden on business, to improve the current business rates system and to consider more fundamental changes in the medium-to-long term. In March 2021, the government published the Interim Report of the review, with the final report issued in October 2021</w:t>
                      </w:r>
                    </w:p>
                    <w:p w14:paraId="2CBFC069" w14:textId="77777777" w:rsidR="0044067F" w:rsidRDefault="0044067F" w:rsidP="004B14C0">
                      <w:pPr>
                        <w:pStyle w:val="ListParagraph"/>
                        <w:rPr>
                          <w:sz w:val="22"/>
                          <w:szCs w:val="22"/>
                        </w:rPr>
                      </w:pPr>
                    </w:p>
                    <w:p w14:paraId="53454606" w14:textId="77777777" w:rsidR="0044067F" w:rsidRDefault="0044067F" w:rsidP="004B14C0">
                      <w:pPr>
                        <w:pBdr>
                          <w:top w:val="single" w:sz="2" w:space="1" w:color="FFFFFF"/>
                          <w:left w:val="single" w:sz="2" w:space="0" w:color="FFFFFF"/>
                          <w:bottom w:val="single" w:sz="2" w:space="2" w:color="FFFFFF"/>
                          <w:right w:val="single" w:sz="2" w:space="4" w:color="FFFFFF"/>
                        </w:pBdr>
                        <w:tabs>
                          <w:tab w:val="left" w:pos="567"/>
                        </w:tabs>
                        <w:ind w:right="141"/>
                        <w:rPr>
                          <w:sz w:val="22"/>
                          <w:szCs w:val="22"/>
                        </w:rPr>
                      </w:pPr>
                      <w:r>
                        <w:rPr>
                          <w:sz w:val="22"/>
                          <w:szCs w:val="22"/>
                        </w:rPr>
                        <w:t>The government has concluded from their review;</w:t>
                      </w:r>
                    </w:p>
                    <w:p w14:paraId="3A2E0106" w14:textId="77777777" w:rsidR="0044067F" w:rsidRDefault="0044067F" w:rsidP="004B14C0">
                      <w:pPr>
                        <w:numPr>
                          <w:ilvl w:val="0"/>
                          <w:numId w:val="24"/>
                        </w:numPr>
                        <w:pBdr>
                          <w:top w:val="single" w:sz="2" w:space="1" w:color="FFFFFF"/>
                          <w:left w:val="single" w:sz="2" w:space="0" w:color="FFFFFF"/>
                          <w:bottom w:val="single" w:sz="2" w:space="2" w:color="FFFFFF"/>
                          <w:right w:val="single" w:sz="2" w:space="4" w:color="FFFFFF"/>
                        </w:pBdr>
                        <w:tabs>
                          <w:tab w:val="clear" w:pos="567"/>
                          <w:tab w:val="num" w:pos="1134"/>
                        </w:tabs>
                        <w:ind w:left="1134" w:right="141"/>
                        <w:rPr>
                          <w:sz w:val="22"/>
                          <w:szCs w:val="22"/>
                        </w:rPr>
                      </w:pPr>
                      <w:r>
                        <w:rPr>
                          <w:sz w:val="22"/>
                          <w:szCs w:val="22"/>
                        </w:rPr>
                        <w:t>that business rates are a vital component of the business tax mix;</w:t>
                      </w:r>
                    </w:p>
                    <w:p w14:paraId="11EA0E56" w14:textId="77777777" w:rsidR="0044067F" w:rsidRDefault="0044067F" w:rsidP="004B14C0">
                      <w:pPr>
                        <w:numPr>
                          <w:ilvl w:val="0"/>
                          <w:numId w:val="24"/>
                        </w:numPr>
                        <w:pBdr>
                          <w:top w:val="single" w:sz="2" w:space="1" w:color="FFFFFF"/>
                          <w:left w:val="single" w:sz="2" w:space="0" w:color="FFFFFF"/>
                          <w:bottom w:val="single" w:sz="2" w:space="2" w:color="FFFFFF"/>
                          <w:right w:val="single" w:sz="2" w:space="4" w:color="FFFFFF"/>
                        </w:pBdr>
                        <w:tabs>
                          <w:tab w:val="clear" w:pos="567"/>
                          <w:tab w:val="num" w:pos="1134"/>
                        </w:tabs>
                        <w:ind w:left="1134" w:right="141"/>
                        <w:rPr>
                          <w:sz w:val="22"/>
                          <w:szCs w:val="22"/>
                        </w:rPr>
                      </w:pPr>
                      <w:r>
                        <w:rPr>
                          <w:sz w:val="22"/>
                          <w:szCs w:val="22"/>
                        </w:rPr>
                        <w:t>that they wish to preserve the benefits of business rates but will make changes to make their operation fairer and more effective for businesses;</w:t>
                      </w:r>
                    </w:p>
                    <w:p w14:paraId="5B34B3D6" w14:textId="77777777" w:rsidR="0044067F" w:rsidRDefault="0044067F" w:rsidP="004B14C0">
                      <w:pPr>
                        <w:numPr>
                          <w:ilvl w:val="0"/>
                          <w:numId w:val="24"/>
                        </w:numPr>
                        <w:pBdr>
                          <w:top w:val="single" w:sz="2" w:space="1" w:color="FFFFFF"/>
                          <w:left w:val="single" w:sz="2" w:space="0" w:color="FFFFFF"/>
                          <w:bottom w:val="single" w:sz="2" w:space="2" w:color="FFFFFF"/>
                          <w:right w:val="single" w:sz="2" w:space="4" w:color="FFFFFF"/>
                        </w:pBdr>
                        <w:tabs>
                          <w:tab w:val="clear" w:pos="567"/>
                          <w:tab w:val="num" w:pos="1134"/>
                        </w:tabs>
                        <w:ind w:left="1134" w:right="141"/>
                        <w:rPr>
                          <w:sz w:val="22"/>
                          <w:szCs w:val="22"/>
                        </w:rPr>
                      </w:pPr>
                      <w:r>
                        <w:rPr>
                          <w:sz w:val="22"/>
                          <w:szCs w:val="22"/>
                        </w:rPr>
                        <w:t>that they are not proposing changing the nature of the tax, or the basis of valuation;</w:t>
                      </w:r>
                    </w:p>
                    <w:p w14:paraId="0FE3F43C" w14:textId="77777777" w:rsidR="0044067F" w:rsidRDefault="0044067F" w:rsidP="004B14C0">
                      <w:pPr>
                        <w:numPr>
                          <w:ilvl w:val="0"/>
                          <w:numId w:val="25"/>
                        </w:numPr>
                        <w:pBdr>
                          <w:top w:val="single" w:sz="2" w:space="1" w:color="FFFFFF"/>
                          <w:left w:val="single" w:sz="2" w:space="0" w:color="FFFFFF"/>
                          <w:bottom w:val="single" w:sz="2" w:space="2" w:color="FFFFFF"/>
                          <w:right w:val="single" w:sz="2" w:space="4" w:color="FFFFFF"/>
                        </w:pBdr>
                        <w:ind w:right="141"/>
                        <w:rPr>
                          <w:sz w:val="22"/>
                        </w:rPr>
                      </w:pPr>
                      <w:r>
                        <w:rPr>
                          <w:sz w:val="22"/>
                          <w:szCs w:val="22"/>
                        </w:rPr>
                        <w:t xml:space="preserve">moving forward, they have concluded that increasing the frequency of revaluations would represent a fundamental and meaningful improvement to the business rates system and would help to ensure greater distributional fairness; currently, revaluations are scheduled to take place every 5 years although in practice, and due in part to the pandemic, these have only taken place about every 6-7 years. As such government has announced a 3-yearly cycle for business rates revaluations, starting from the next revaluation in 2023. </w:t>
                      </w:r>
                    </w:p>
                    <w:p w14:paraId="76F9CF9B" w14:textId="39E09540" w:rsidR="0044067F" w:rsidRDefault="0044067F" w:rsidP="004B14C0">
                      <w:pPr>
                        <w:pBdr>
                          <w:top w:val="single" w:sz="2" w:space="1" w:color="FFFFFF"/>
                          <w:left w:val="single" w:sz="2" w:space="0" w:color="FFFFFF"/>
                          <w:bottom w:val="single" w:sz="2" w:space="2" w:color="FFFFFF"/>
                          <w:right w:val="single" w:sz="2" w:space="4" w:color="FFFFFF"/>
                        </w:pBdr>
                        <w:ind w:right="141"/>
                        <w:rPr>
                          <w:sz w:val="22"/>
                        </w:rPr>
                      </w:pPr>
                      <w:proofErr w:type="gramStart"/>
                      <w:r>
                        <w:rPr>
                          <w:sz w:val="22"/>
                        </w:rPr>
                        <w:t>In light of</w:t>
                      </w:r>
                      <w:proofErr w:type="gramEnd"/>
                      <w:r>
                        <w:rPr>
                          <w:sz w:val="22"/>
                        </w:rPr>
                        <w:t xml:space="preserve"> the above, the quantum of business rates that will remain available to the council after the reset is uncertain. </w:t>
                      </w:r>
                      <w:r>
                        <w:rPr>
                          <w:sz w:val="22"/>
                          <w:szCs w:val="22"/>
                        </w:rPr>
                        <w:t>It is likely that</w:t>
                      </w:r>
                      <w:r>
                        <w:rPr>
                          <w:sz w:val="22"/>
                        </w:rPr>
                        <w:t xml:space="preserve"> the level of funding that councils retain from business rates will be reviewed across the country as part of the government’s ‘levelling up’ agenda. This is expected to flow from the outcome of the Fair Funding </w:t>
                      </w:r>
                      <w:proofErr w:type="gramStart"/>
                      <w:r>
                        <w:rPr>
                          <w:sz w:val="22"/>
                        </w:rPr>
                        <w:t>Review,</w:t>
                      </w:r>
                      <w:proofErr w:type="gramEnd"/>
                      <w:r>
                        <w:rPr>
                          <w:sz w:val="22"/>
                        </w:rPr>
                        <w:t xml:space="preserve"> however no date has been set for these reforms. As such, in the absence of any further information, the budget assumes the council will retain the current level of business rates enjoyed as part of the Lancashire Pool throughout the </w:t>
                      </w:r>
                      <w:proofErr w:type="gramStart"/>
                      <w:r>
                        <w:rPr>
                          <w:sz w:val="22"/>
                        </w:rPr>
                        <w:t>three year</w:t>
                      </w:r>
                      <w:proofErr w:type="gramEnd"/>
                      <w:r>
                        <w:rPr>
                          <w:sz w:val="22"/>
                        </w:rPr>
                        <w:t xml:space="preserve"> period of the MTFS.</w:t>
                      </w:r>
                    </w:p>
                    <w:p w14:paraId="11F9422B" w14:textId="77777777" w:rsidR="0044067F" w:rsidRDefault="0044067F" w:rsidP="00E004D2">
                      <w:pPr>
                        <w:rPr>
                          <w:rFonts w:cs="Arial"/>
                          <w:sz w:val="22"/>
                        </w:rPr>
                      </w:pPr>
                    </w:p>
                    <w:p w14:paraId="226C3474" w14:textId="2C2CD7EA" w:rsidR="0044067F" w:rsidRDefault="0044067F" w:rsidP="00E004D2">
                      <w:pPr>
                        <w:rPr>
                          <w:rFonts w:cs="Arial"/>
                          <w:b/>
                          <w:sz w:val="22"/>
                        </w:rPr>
                      </w:pPr>
                      <w:r>
                        <w:rPr>
                          <w:rFonts w:cs="Arial"/>
                          <w:b/>
                          <w:sz w:val="22"/>
                        </w:rPr>
                        <w:t>Post-Covid Recovery</w:t>
                      </w:r>
                    </w:p>
                    <w:p w14:paraId="4F63EF98" w14:textId="77777777" w:rsidR="0044067F" w:rsidRDefault="0044067F" w:rsidP="00E004D2">
                      <w:pPr>
                        <w:rPr>
                          <w:rFonts w:cs="Arial"/>
                          <w:b/>
                          <w:sz w:val="22"/>
                        </w:rPr>
                      </w:pPr>
                    </w:p>
                    <w:p w14:paraId="2C250EE6" w14:textId="270FB13D" w:rsidR="0044067F" w:rsidRDefault="0044067F" w:rsidP="00E004D2">
                      <w:pPr>
                        <w:rPr>
                          <w:rFonts w:cs="Arial"/>
                          <w:bCs/>
                          <w:sz w:val="22"/>
                        </w:rPr>
                      </w:pPr>
                      <w:r w:rsidRPr="00974A39">
                        <w:rPr>
                          <w:rFonts w:cs="Arial"/>
                          <w:bCs/>
                          <w:sz w:val="22"/>
                        </w:rPr>
                        <w:t xml:space="preserve">The pandemic has impacted on the council finances as well as the wider economic environment. This has created uncertainty in the MTFS. </w:t>
                      </w:r>
                    </w:p>
                    <w:p w14:paraId="24B94F58" w14:textId="77777777" w:rsidR="0044067F" w:rsidRDefault="0044067F" w:rsidP="00E004D2">
                      <w:pPr>
                        <w:rPr>
                          <w:rFonts w:cs="Arial"/>
                          <w:bCs/>
                          <w:sz w:val="22"/>
                          <w:szCs w:val="22"/>
                        </w:rPr>
                      </w:pPr>
                    </w:p>
                    <w:p w14:paraId="55230327" w14:textId="31FCE666" w:rsidR="0044067F" w:rsidRDefault="0044067F" w:rsidP="00E004D2">
                      <w:pPr>
                        <w:rPr>
                          <w:rFonts w:cs="Arial"/>
                          <w:sz w:val="22"/>
                          <w:szCs w:val="22"/>
                        </w:rPr>
                      </w:pPr>
                      <w:r>
                        <w:rPr>
                          <w:rFonts w:cs="Arial"/>
                          <w:sz w:val="22"/>
                          <w:szCs w:val="22"/>
                        </w:rPr>
                        <w:t xml:space="preserve">To help manage this uncertainty the council has set aside reserves from government grant funding, received; </w:t>
                      </w:r>
                    </w:p>
                    <w:p w14:paraId="242533D3" w14:textId="412D4458" w:rsidR="0044067F" w:rsidRPr="005418CC" w:rsidRDefault="0044067F" w:rsidP="00974A39">
                      <w:pPr>
                        <w:numPr>
                          <w:ilvl w:val="1"/>
                          <w:numId w:val="23"/>
                        </w:numPr>
                        <w:pBdr>
                          <w:top w:val="single" w:sz="2" w:space="1" w:color="FFFFFF"/>
                          <w:left w:val="single" w:sz="2" w:space="0" w:color="FFFFFF"/>
                          <w:bottom w:val="single" w:sz="2" w:space="2" w:color="FFFFFF"/>
                          <w:right w:val="single" w:sz="2" w:space="4" w:color="FFFFFF"/>
                        </w:pBdr>
                        <w:tabs>
                          <w:tab w:val="left" w:pos="567"/>
                        </w:tabs>
                        <w:ind w:right="141"/>
                        <w:rPr>
                          <w:bCs/>
                          <w:iCs/>
                          <w:sz w:val="22"/>
                        </w:rPr>
                      </w:pPr>
                      <w:r w:rsidRPr="005418CC">
                        <w:rPr>
                          <w:bCs/>
                          <w:iCs/>
                          <w:sz w:val="22"/>
                        </w:rPr>
                        <w:t>£</w:t>
                      </w:r>
                      <w:r w:rsidR="005418CC" w:rsidRPr="005418CC">
                        <w:rPr>
                          <w:bCs/>
                          <w:iCs/>
                          <w:sz w:val="22"/>
                        </w:rPr>
                        <w:t>675</w:t>
                      </w:r>
                      <w:r w:rsidRPr="005418CC">
                        <w:rPr>
                          <w:bCs/>
                          <w:iCs/>
                          <w:sz w:val="22"/>
                        </w:rPr>
                        <w:t>k Covid-19 recovery reserves</w:t>
                      </w:r>
                    </w:p>
                    <w:p w14:paraId="00A3C408" w14:textId="3415AC41" w:rsidR="005418CC" w:rsidRPr="005418CC" w:rsidRDefault="005418CC" w:rsidP="00974A39">
                      <w:pPr>
                        <w:numPr>
                          <w:ilvl w:val="1"/>
                          <w:numId w:val="23"/>
                        </w:numPr>
                        <w:pBdr>
                          <w:top w:val="single" w:sz="2" w:space="1" w:color="FFFFFF"/>
                          <w:left w:val="single" w:sz="2" w:space="0" w:color="FFFFFF"/>
                          <w:bottom w:val="single" w:sz="2" w:space="2" w:color="FFFFFF"/>
                          <w:right w:val="single" w:sz="2" w:space="4" w:color="FFFFFF"/>
                        </w:pBdr>
                        <w:tabs>
                          <w:tab w:val="left" w:pos="567"/>
                        </w:tabs>
                        <w:ind w:right="141"/>
                        <w:rPr>
                          <w:bCs/>
                          <w:iCs/>
                          <w:sz w:val="22"/>
                        </w:rPr>
                      </w:pPr>
                      <w:r w:rsidRPr="005418CC">
                        <w:rPr>
                          <w:bCs/>
                          <w:iCs/>
                          <w:sz w:val="22"/>
                        </w:rPr>
                        <w:t>£104k Covid-19 ongoing commitments</w:t>
                      </w:r>
                    </w:p>
                    <w:p w14:paraId="3821977C" w14:textId="57A52F77" w:rsidR="0044067F" w:rsidRDefault="0044067F" w:rsidP="00E004D2">
                      <w:pPr>
                        <w:rPr>
                          <w:rFonts w:cs="Arial"/>
                          <w:sz w:val="22"/>
                          <w:szCs w:val="22"/>
                        </w:rPr>
                      </w:pPr>
                      <w:r>
                        <w:rPr>
                          <w:rFonts w:cs="Arial"/>
                          <w:sz w:val="22"/>
                          <w:szCs w:val="22"/>
                        </w:rPr>
                        <w:t xml:space="preserve">These reserves will help the council manage the Covid recovery period however the full, medium-term impact of this recovery is not yet clearly understood. This could impact further on council expenditure, </w:t>
                      </w:r>
                      <w:proofErr w:type="gramStart"/>
                      <w:r>
                        <w:rPr>
                          <w:rFonts w:cs="Arial"/>
                          <w:sz w:val="22"/>
                          <w:szCs w:val="22"/>
                        </w:rPr>
                        <w:t>income</w:t>
                      </w:r>
                      <w:proofErr w:type="gramEnd"/>
                      <w:r>
                        <w:rPr>
                          <w:rFonts w:cs="Arial"/>
                          <w:sz w:val="22"/>
                          <w:szCs w:val="22"/>
                        </w:rPr>
                        <w:t xml:space="preserve"> and government funding levels.</w:t>
                      </w:r>
                    </w:p>
                  </w:txbxContent>
                </v:textbox>
                <w10:wrap anchorx="margin"/>
              </v:shape>
            </w:pict>
          </mc:Fallback>
        </mc:AlternateContent>
      </w:r>
    </w:p>
    <w:p w14:paraId="74F55A1B" w14:textId="491F879A" w:rsidR="00E004D2" w:rsidRDefault="00E004D2" w:rsidP="00E004D2">
      <w:pPr>
        <w:rPr>
          <w:rFonts w:cs="Arial"/>
          <w:szCs w:val="24"/>
          <w:u w:val="single"/>
        </w:rPr>
      </w:pPr>
    </w:p>
    <w:p w14:paraId="038EB732" w14:textId="3BDF542F" w:rsidR="00E004D2" w:rsidRDefault="00E004D2" w:rsidP="00E004D2">
      <w:pPr>
        <w:rPr>
          <w:rFonts w:cs="Arial"/>
          <w:szCs w:val="24"/>
          <w:u w:val="single"/>
        </w:rPr>
      </w:pPr>
    </w:p>
    <w:p w14:paraId="1516B689" w14:textId="1BEEDCEC" w:rsidR="00E004D2" w:rsidRDefault="00E004D2" w:rsidP="00E004D2">
      <w:pPr>
        <w:rPr>
          <w:rFonts w:cs="Arial"/>
          <w:szCs w:val="24"/>
          <w:u w:val="single"/>
        </w:rPr>
      </w:pPr>
    </w:p>
    <w:p w14:paraId="2365502E" w14:textId="77777777" w:rsidR="00E004D2" w:rsidRDefault="00E004D2" w:rsidP="00E004D2">
      <w:pPr>
        <w:rPr>
          <w:rFonts w:cs="Arial"/>
          <w:szCs w:val="24"/>
          <w:u w:val="single"/>
        </w:rPr>
      </w:pPr>
    </w:p>
    <w:p w14:paraId="00C1C736" w14:textId="77777777" w:rsidR="00E004D2" w:rsidRDefault="00E004D2" w:rsidP="00E004D2">
      <w:pPr>
        <w:rPr>
          <w:rFonts w:cs="Arial"/>
          <w:szCs w:val="24"/>
          <w:u w:val="single"/>
        </w:rPr>
      </w:pPr>
    </w:p>
    <w:p w14:paraId="25041592" w14:textId="77777777" w:rsidR="00E004D2" w:rsidRDefault="00E004D2" w:rsidP="00E004D2">
      <w:pPr>
        <w:rPr>
          <w:rFonts w:cs="Arial"/>
          <w:szCs w:val="24"/>
          <w:u w:val="single"/>
        </w:rPr>
      </w:pPr>
    </w:p>
    <w:p w14:paraId="28BC494C" w14:textId="77777777" w:rsidR="00E004D2" w:rsidRDefault="00E004D2" w:rsidP="00E004D2">
      <w:pPr>
        <w:rPr>
          <w:rFonts w:cs="Arial"/>
          <w:szCs w:val="24"/>
          <w:u w:val="single"/>
        </w:rPr>
      </w:pPr>
    </w:p>
    <w:p w14:paraId="5A54C3FC" w14:textId="77777777" w:rsidR="00E004D2" w:rsidRDefault="00E004D2" w:rsidP="00E004D2">
      <w:pPr>
        <w:rPr>
          <w:rFonts w:cs="Arial"/>
          <w:szCs w:val="24"/>
          <w:u w:val="single"/>
        </w:rPr>
      </w:pPr>
    </w:p>
    <w:p w14:paraId="00EF74CD" w14:textId="77777777" w:rsidR="00E004D2" w:rsidRDefault="00E004D2" w:rsidP="00E004D2">
      <w:pPr>
        <w:rPr>
          <w:rFonts w:cs="Arial"/>
          <w:szCs w:val="24"/>
          <w:u w:val="single"/>
        </w:rPr>
      </w:pPr>
    </w:p>
    <w:p w14:paraId="7D609AF6" w14:textId="77777777" w:rsidR="00E004D2" w:rsidRDefault="00E004D2" w:rsidP="00E004D2">
      <w:pPr>
        <w:rPr>
          <w:rFonts w:cs="Arial"/>
          <w:szCs w:val="24"/>
          <w:u w:val="single"/>
        </w:rPr>
      </w:pPr>
    </w:p>
    <w:p w14:paraId="7E25BBF0" w14:textId="77777777" w:rsidR="00E004D2" w:rsidRDefault="00E004D2" w:rsidP="00E004D2">
      <w:pPr>
        <w:rPr>
          <w:rFonts w:cs="Arial"/>
          <w:szCs w:val="24"/>
          <w:u w:val="single"/>
        </w:rPr>
      </w:pPr>
    </w:p>
    <w:p w14:paraId="08A7D336" w14:textId="77777777" w:rsidR="00E004D2" w:rsidRDefault="00E004D2" w:rsidP="00E004D2">
      <w:pPr>
        <w:rPr>
          <w:rFonts w:cs="Arial"/>
          <w:szCs w:val="24"/>
          <w:u w:val="single"/>
        </w:rPr>
      </w:pPr>
    </w:p>
    <w:p w14:paraId="295E7D2F" w14:textId="77777777" w:rsidR="00E004D2" w:rsidRDefault="00E004D2" w:rsidP="00E004D2">
      <w:pPr>
        <w:rPr>
          <w:rFonts w:cs="Arial"/>
          <w:szCs w:val="24"/>
          <w:u w:val="single"/>
        </w:rPr>
      </w:pPr>
    </w:p>
    <w:p w14:paraId="28F54141" w14:textId="77777777" w:rsidR="00E004D2" w:rsidRDefault="00E004D2" w:rsidP="00E004D2">
      <w:pPr>
        <w:rPr>
          <w:rFonts w:cs="Arial"/>
          <w:szCs w:val="24"/>
          <w:u w:val="single"/>
        </w:rPr>
      </w:pPr>
    </w:p>
    <w:p w14:paraId="63D51189" w14:textId="77777777" w:rsidR="00E004D2" w:rsidRDefault="00E004D2" w:rsidP="00E004D2">
      <w:pPr>
        <w:rPr>
          <w:rFonts w:cs="Arial"/>
          <w:szCs w:val="24"/>
          <w:u w:val="single"/>
        </w:rPr>
      </w:pPr>
    </w:p>
    <w:p w14:paraId="000E9415" w14:textId="77777777" w:rsidR="00E004D2" w:rsidRDefault="00E004D2" w:rsidP="00E004D2">
      <w:pPr>
        <w:rPr>
          <w:rFonts w:cs="Arial"/>
          <w:szCs w:val="24"/>
          <w:u w:val="single"/>
        </w:rPr>
      </w:pPr>
    </w:p>
    <w:p w14:paraId="4A539EE7" w14:textId="77777777" w:rsidR="00E004D2" w:rsidRDefault="00E004D2" w:rsidP="00E004D2">
      <w:pPr>
        <w:rPr>
          <w:rFonts w:cs="Arial"/>
          <w:szCs w:val="24"/>
          <w:u w:val="single"/>
        </w:rPr>
      </w:pPr>
    </w:p>
    <w:p w14:paraId="0503E362" w14:textId="77777777" w:rsidR="00E004D2" w:rsidRDefault="00E004D2" w:rsidP="00E004D2">
      <w:pPr>
        <w:rPr>
          <w:rFonts w:cs="Arial"/>
          <w:szCs w:val="24"/>
          <w:u w:val="single"/>
        </w:rPr>
      </w:pPr>
    </w:p>
    <w:p w14:paraId="0136D117" w14:textId="77777777" w:rsidR="00E004D2" w:rsidRDefault="00E004D2" w:rsidP="00E004D2">
      <w:pPr>
        <w:rPr>
          <w:rFonts w:cs="Arial"/>
          <w:szCs w:val="24"/>
        </w:rPr>
      </w:pPr>
    </w:p>
    <w:p w14:paraId="2F001275" w14:textId="77777777" w:rsidR="00E004D2" w:rsidRDefault="00E004D2" w:rsidP="00E004D2">
      <w:pPr>
        <w:rPr>
          <w:rFonts w:cs="Arial"/>
          <w:szCs w:val="24"/>
        </w:rPr>
      </w:pPr>
    </w:p>
    <w:p w14:paraId="30D0E7B3" w14:textId="77777777" w:rsidR="00E004D2" w:rsidRDefault="00E004D2" w:rsidP="00E004D2">
      <w:pPr>
        <w:rPr>
          <w:rFonts w:cs="Arial"/>
          <w:szCs w:val="24"/>
        </w:rPr>
      </w:pPr>
    </w:p>
    <w:p w14:paraId="59559129" w14:textId="77777777" w:rsidR="00E004D2" w:rsidRDefault="00E004D2" w:rsidP="00E004D2">
      <w:pPr>
        <w:rPr>
          <w:rFonts w:cs="Arial"/>
          <w:szCs w:val="24"/>
        </w:rPr>
      </w:pPr>
    </w:p>
    <w:p w14:paraId="42AEACE5" w14:textId="77777777" w:rsidR="00E004D2" w:rsidRDefault="00E004D2" w:rsidP="00E004D2">
      <w:pPr>
        <w:rPr>
          <w:rFonts w:cs="Arial"/>
          <w:szCs w:val="24"/>
        </w:rPr>
      </w:pPr>
    </w:p>
    <w:p w14:paraId="422BAB00" w14:textId="77777777" w:rsidR="00E004D2" w:rsidRDefault="00E004D2" w:rsidP="00E004D2">
      <w:pPr>
        <w:rPr>
          <w:rFonts w:cs="Arial"/>
          <w:szCs w:val="24"/>
        </w:rPr>
      </w:pPr>
    </w:p>
    <w:p w14:paraId="204C08BA" w14:textId="77777777" w:rsidR="00E004D2" w:rsidRDefault="00E004D2" w:rsidP="00E004D2">
      <w:pPr>
        <w:rPr>
          <w:rFonts w:cs="Arial"/>
          <w:szCs w:val="24"/>
        </w:rPr>
      </w:pPr>
    </w:p>
    <w:p w14:paraId="1FF7865D" w14:textId="77777777" w:rsidR="00E004D2" w:rsidRDefault="00E004D2" w:rsidP="00E004D2">
      <w:pPr>
        <w:rPr>
          <w:rFonts w:cs="Arial"/>
          <w:szCs w:val="24"/>
        </w:rPr>
      </w:pPr>
    </w:p>
    <w:p w14:paraId="75EA5980" w14:textId="77777777" w:rsidR="00E004D2" w:rsidRDefault="00E004D2" w:rsidP="00E004D2">
      <w:pPr>
        <w:rPr>
          <w:rFonts w:cs="Arial"/>
          <w:szCs w:val="24"/>
        </w:rPr>
      </w:pPr>
    </w:p>
    <w:p w14:paraId="3A787AC9" w14:textId="77777777" w:rsidR="00E004D2" w:rsidRDefault="00E004D2" w:rsidP="00E004D2">
      <w:pPr>
        <w:rPr>
          <w:rFonts w:cs="Arial"/>
          <w:szCs w:val="24"/>
        </w:rPr>
      </w:pPr>
    </w:p>
    <w:p w14:paraId="3B0B5174" w14:textId="77777777" w:rsidR="00E004D2" w:rsidRDefault="00E004D2" w:rsidP="00E004D2">
      <w:pPr>
        <w:rPr>
          <w:rFonts w:cs="Arial"/>
          <w:szCs w:val="24"/>
        </w:rPr>
      </w:pPr>
    </w:p>
    <w:p w14:paraId="3C40A037" w14:textId="77777777" w:rsidR="00E004D2" w:rsidRDefault="00E004D2" w:rsidP="00E004D2">
      <w:pPr>
        <w:jc w:val="right"/>
        <w:rPr>
          <w:rFonts w:cs="Arial"/>
          <w:szCs w:val="24"/>
        </w:rPr>
      </w:pPr>
    </w:p>
    <w:p w14:paraId="164F25FD" w14:textId="77777777" w:rsidR="00E004D2" w:rsidRDefault="00E004D2" w:rsidP="00E004D2">
      <w:pPr>
        <w:jc w:val="right"/>
        <w:rPr>
          <w:rFonts w:cs="Arial"/>
          <w:szCs w:val="24"/>
        </w:rPr>
      </w:pPr>
    </w:p>
    <w:p w14:paraId="757123BD" w14:textId="77777777" w:rsidR="00E004D2" w:rsidRDefault="00E004D2" w:rsidP="00E004D2">
      <w:pPr>
        <w:jc w:val="right"/>
        <w:rPr>
          <w:rFonts w:cs="Arial"/>
          <w:szCs w:val="24"/>
        </w:rPr>
      </w:pPr>
    </w:p>
    <w:p w14:paraId="1074F8C8" w14:textId="77777777" w:rsidR="00E004D2" w:rsidRDefault="00E004D2" w:rsidP="00E004D2">
      <w:pPr>
        <w:rPr>
          <w:rFonts w:cs="Arial"/>
          <w:b/>
          <w:color w:val="FFC000"/>
          <w:szCs w:val="24"/>
          <w:u w:val="single"/>
        </w:rPr>
      </w:pPr>
    </w:p>
    <w:p w14:paraId="7278D284" w14:textId="77777777" w:rsidR="00E004D2" w:rsidRDefault="00E004D2" w:rsidP="00E004D2">
      <w:pPr>
        <w:rPr>
          <w:rFonts w:cs="Arial"/>
          <w:b/>
          <w:color w:val="FFC000"/>
          <w:szCs w:val="24"/>
          <w:u w:val="single"/>
        </w:rPr>
      </w:pPr>
    </w:p>
    <w:p w14:paraId="20310532" w14:textId="77777777" w:rsidR="00E004D2" w:rsidRDefault="00E004D2" w:rsidP="00E004D2">
      <w:pPr>
        <w:rPr>
          <w:rFonts w:cs="Arial"/>
          <w:b/>
          <w:color w:val="FFC000"/>
          <w:szCs w:val="24"/>
          <w:u w:val="single"/>
        </w:rPr>
      </w:pPr>
    </w:p>
    <w:p w14:paraId="13A110BB" w14:textId="77777777" w:rsidR="00E004D2" w:rsidRDefault="00E004D2" w:rsidP="00E004D2">
      <w:pPr>
        <w:rPr>
          <w:rFonts w:cs="Arial"/>
          <w:b/>
          <w:color w:val="FFC000"/>
          <w:szCs w:val="24"/>
          <w:u w:val="single"/>
        </w:rPr>
      </w:pPr>
    </w:p>
    <w:p w14:paraId="7078C260" w14:textId="0DFC5F8D" w:rsidR="00015345" w:rsidRDefault="00015345" w:rsidP="00E004D2">
      <w:pPr>
        <w:spacing w:after="200" w:line="276" w:lineRule="auto"/>
        <w:jc w:val="left"/>
        <w:rPr>
          <w:rFonts w:cs="Arial"/>
          <w:b/>
          <w:color w:val="FFC000"/>
          <w:szCs w:val="24"/>
          <w:u w:val="single"/>
        </w:rPr>
      </w:pPr>
    </w:p>
    <w:p w14:paraId="53759BF5" w14:textId="2C5C4A8D" w:rsidR="00E004D2" w:rsidRDefault="00E004D2" w:rsidP="00E004D2">
      <w:pPr>
        <w:spacing w:after="200" w:line="276" w:lineRule="auto"/>
        <w:jc w:val="left"/>
        <w:rPr>
          <w:rFonts w:cs="Arial"/>
          <w:b/>
          <w:color w:val="FFC000"/>
          <w:szCs w:val="24"/>
          <w:u w:val="single"/>
        </w:rPr>
      </w:pPr>
      <w:r>
        <w:rPr>
          <w:rFonts w:cs="Arial"/>
          <w:b/>
          <w:color w:val="FFC000"/>
          <w:szCs w:val="24"/>
          <w:u w:val="single"/>
        </w:rPr>
        <w:t>MEDIUM RISKS</w:t>
      </w:r>
    </w:p>
    <w:p w14:paraId="61ECF93E" w14:textId="59DA18F8" w:rsidR="00E004D2" w:rsidRDefault="00015345" w:rsidP="00E004D2">
      <w:pPr>
        <w:rPr>
          <w:rFonts w:cs="Arial"/>
          <w:b/>
          <w:color w:val="FFC000"/>
          <w:szCs w:val="24"/>
          <w:u w:val="single"/>
        </w:rPr>
      </w:pPr>
      <w:r>
        <w:rPr>
          <w:noProof/>
        </w:rPr>
        <mc:AlternateContent>
          <mc:Choice Requires="wps">
            <w:drawing>
              <wp:anchor distT="0" distB="0" distL="114300" distR="114300" simplePos="0" relativeHeight="251661312" behindDoc="0" locked="0" layoutInCell="1" allowOverlap="1" wp14:anchorId="4D62F41F" wp14:editId="1BE1A6E0">
                <wp:simplePos x="0" y="0"/>
                <wp:positionH relativeFrom="column">
                  <wp:posOffset>-295275</wp:posOffset>
                </wp:positionH>
                <wp:positionV relativeFrom="paragraph">
                  <wp:posOffset>214630</wp:posOffset>
                </wp:positionV>
                <wp:extent cx="6372860" cy="8639175"/>
                <wp:effectExtent l="19050" t="19050" r="27940" b="28575"/>
                <wp:wrapNone/>
                <wp:docPr id="9" name="Text Box 9"/>
                <wp:cNvGraphicFramePr/>
                <a:graphic xmlns:a="http://schemas.openxmlformats.org/drawingml/2006/main">
                  <a:graphicData uri="http://schemas.microsoft.com/office/word/2010/wordprocessingShape">
                    <wps:wsp>
                      <wps:cNvSpPr txBox="1"/>
                      <wps:spPr>
                        <a:xfrm>
                          <a:off x="0" y="0"/>
                          <a:ext cx="6372860" cy="8639175"/>
                        </a:xfrm>
                        <a:prstGeom prst="rect">
                          <a:avLst/>
                        </a:prstGeom>
                        <a:solidFill>
                          <a:srgbClr val="FFC000">
                            <a:alpha val="39000"/>
                          </a:srgbClr>
                        </a:solidFill>
                        <a:ln w="3810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7BBD4DB4" w14:textId="6F8A4735" w:rsidR="0044067F" w:rsidRDefault="0044067F" w:rsidP="00E004D2">
                            <w:pPr>
                              <w:rPr>
                                <w:rFonts w:cs="Arial"/>
                                <w:b/>
                                <w:sz w:val="22"/>
                              </w:rPr>
                            </w:pPr>
                            <w:r>
                              <w:rPr>
                                <w:rFonts w:cs="Arial"/>
                                <w:b/>
                                <w:sz w:val="22"/>
                              </w:rPr>
                              <w:t>Business Rates Appeals and Other Business Rates Adjustments</w:t>
                            </w:r>
                          </w:p>
                          <w:p w14:paraId="26DA9FB0" w14:textId="77777777" w:rsidR="0044067F" w:rsidRDefault="0044067F" w:rsidP="00E004D2">
                            <w:pPr>
                              <w:rPr>
                                <w:rFonts w:cs="Arial"/>
                                <w:b/>
                                <w:sz w:val="22"/>
                              </w:rPr>
                            </w:pPr>
                          </w:p>
                          <w:p w14:paraId="15BEF878" w14:textId="65BF6594" w:rsidR="0071420C" w:rsidRDefault="0044067F" w:rsidP="00E004D2">
                            <w:pPr>
                              <w:rPr>
                                <w:sz w:val="22"/>
                                <w:szCs w:val="18"/>
                              </w:rPr>
                            </w:pPr>
                            <w:r>
                              <w:rPr>
                                <w:sz w:val="22"/>
                                <w:szCs w:val="18"/>
                              </w:rPr>
                              <w:t xml:space="preserve">The council’s share of the provision for business rates appeals </w:t>
                            </w:r>
                            <w:r w:rsidRPr="001B1D30">
                              <w:rPr>
                                <w:sz w:val="22"/>
                                <w:szCs w:val="18"/>
                              </w:rPr>
                              <w:t>st</w:t>
                            </w:r>
                            <w:r w:rsidR="00025239">
                              <w:rPr>
                                <w:sz w:val="22"/>
                                <w:szCs w:val="18"/>
                              </w:rPr>
                              <w:t>ands</w:t>
                            </w:r>
                            <w:r w:rsidRPr="001B1D30">
                              <w:rPr>
                                <w:sz w:val="22"/>
                                <w:szCs w:val="18"/>
                              </w:rPr>
                              <w:t xml:space="preserve"> at </w:t>
                            </w:r>
                            <w:r w:rsidRPr="00030E75">
                              <w:rPr>
                                <w:sz w:val="22"/>
                                <w:szCs w:val="18"/>
                              </w:rPr>
                              <w:t>£</w:t>
                            </w:r>
                            <w:r w:rsidR="00030E75" w:rsidRPr="00030E75">
                              <w:rPr>
                                <w:sz w:val="22"/>
                                <w:szCs w:val="18"/>
                              </w:rPr>
                              <w:t>2.694</w:t>
                            </w:r>
                            <w:r w:rsidRPr="00030E75">
                              <w:rPr>
                                <w:sz w:val="22"/>
                                <w:szCs w:val="18"/>
                              </w:rPr>
                              <w:t xml:space="preserve">m </w:t>
                            </w:r>
                            <w:r w:rsidR="00025239" w:rsidRPr="00030E75">
                              <w:rPr>
                                <w:sz w:val="22"/>
                                <w:szCs w:val="18"/>
                              </w:rPr>
                              <w:t>in</w:t>
                            </w:r>
                            <w:r w:rsidRPr="00030E75">
                              <w:rPr>
                                <w:sz w:val="22"/>
                                <w:szCs w:val="18"/>
                              </w:rPr>
                              <w:t xml:space="preserve"> 2021/22</w:t>
                            </w:r>
                            <w:r w:rsidR="0071420C">
                              <w:rPr>
                                <w:sz w:val="22"/>
                                <w:szCs w:val="18"/>
                              </w:rPr>
                              <w:t>. A</w:t>
                            </w:r>
                            <w:r w:rsidRPr="001B1D30">
                              <w:rPr>
                                <w:sz w:val="22"/>
                                <w:szCs w:val="18"/>
                              </w:rPr>
                              <w:t xml:space="preserve">llowance has been made for </w:t>
                            </w:r>
                            <w:r w:rsidR="0071420C">
                              <w:rPr>
                                <w:sz w:val="22"/>
                                <w:szCs w:val="18"/>
                              </w:rPr>
                              <w:t xml:space="preserve">an </w:t>
                            </w:r>
                            <w:r w:rsidRPr="001B1D30">
                              <w:rPr>
                                <w:sz w:val="22"/>
                                <w:szCs w:val="18"/>
                              </w:rPr>
                              <w:t xml:space="preserve">additional provision of </w:t>
                            </w:r>
                            <w:r w:rsidRPr="00030E75">
                              <w:rPr>
                                <w:sz w:val="22"/>
                                <w:szCs w:val="18"/>
                              </w:rPr>
                              <w:t>£0.</w:t>
                            </w:r>
                            <w:r w:rsidR="00030E75" w:rsidRPr="00030E75">
                              <w:rPr>
                                <w:sz w:val="22"/>
                                <w:szCs w:val="18"/>
                              </w:rPr>
                              <w:t>536</w:t>
                            </w:r>
                            <w:r w:rsidRPr="00030E75">
                              <w:rPr>
                                <w:sz w:val="22"/>
                                <w:szCs w:val="18"/>
                              </w:rPr>
                              <w:t>m</w:t>
                            </w:r>
                            <w:r w:rsidR="0071420C">
                              <w:rPr>
                                <w:sz w:val="22"/>
                                <w:szCs w:val="18"/>
                              </w:rPr>
                              <w:t xml:space="preserve"> to allow for any further appeals against the 2017 rating list and any appeals resulting from the impact of Covid 19 </w:t>
                            </w:r>
                            <w:r w:rsidR="0071420C" w:rsidRPr="00030E75">
                              <w:rPr>
                                <w:sz w:val="22"/>
                                <w:szCs w:val="18"/>
                              </w:rPr>
                              <w:t>e.g. reduced demand for office accommodation.</w:t>
                            </w:r>
                            <w:r w:rsidR="0071420C">
                              <w:rPr>
                                <w:sz w:val="22"/>
                                <w:szCs w:val="18"/>
                              </w:rPr>
                              <w:t xml:space="preserve"> </w:t>
                            </w:r>
                          </w:p>
                          <w:p w14:paraId="1D657620" w14:textId="77777777" w:rsidR="0071420C" w:rsidRDefault="0071420C" w:rsidP="00E004D2">
                            <w:pPr>
                              <w:rPr>
                                <w:sz w:val="22"/>
                                <w:szCs w:val="18"/>
                              </w:rPr>
                            </w:pPr>
                          </w:p>
                          <w:p w14:paraId="3B16386F" w14:textId="176B0BB8" w:rsidR="0044067F" w:rsidRDefault="0044067F" w:rsidP="0071420C">
                            <w:pPr>
                              <w:rPr>
                                <w:sz w:val="22"/>
                                <w:szCs w:val="18"/>
                              </w:rPr>
                            </w:pPr>
                            <w:r>
                              <w:rPr>
                                <w:sz w:val="22"/>
                                <w:szCs w:val="18"/>
                              </w:rPr>
                              <w:t>Th</w:t>
                            </w:r>
                            <w:r w:rsidR="0071420C">
                              <w:rPr>
                                <w:sz w:val="22"/>
                                <w:szCs w:val="18"/>
                              </w:rPr>
                              <w:t xml:space="preserve">e impact of appeals will be continually monitored, however based upon current information, this increased level of provision </w:t>
                            </w:r>
                            <w:r>
                              <w:rPr>
                                <w:sz w:val="22"/>
                                <w:szCs w:val="18"/>
                              </w:rPr>
                              <w:t xml:space="preserve">is deemed </w:t>
                            </w:r>
                            <w:r w:rsidR="0071420C">
                              <w:rPr>
                                <w:sz w:val="22"/>
                                <w:szCs w:val="18"/>
                              </w:rPr>
                              <w:t>to be sufficient.</w:t>
                            </w:r>
                          </w:p>
                          <w:p w14:paraId="00AD422E" w14:textId="77777777" w:rsidR="0071420C" w:rsidRDefault="0071420C" w:rsidP="0071420C">
                            <w:pPr>
                              <w:rPr>
                                <w:rFonts w:cs="Arial"/>
                                <w:sz w:val="22"/>
                              </w:rPr>
                            </w:pPr>
                          </w:p>
                          <w:p w14:paraId="0F4499C3" w14:textId="245ACFE2" w:rsidR="0044067F" w:rsidRDefault="0044067F" w:rsidP="00E004D2">
                            <w:pPr>
                              <w:rPr>
                                <w:rFonts w:cs="Arial"/>
                                <w:b/>
                                <w:sz w:val="22"/>
                              </w:rPr>
                            </w:pPr>
                            <w:r>
                              <w:rPr>
                                <w:rFonts w:cs="Arial"/>
                                <w:b/>
                                <w:sz w:val="22"/>
                              </w:rPr>
                              <w:t xml:space="preserve">Pay Inflation </w:t>
                            </w:r>
                          </w:p>
                          <w:p w14:paraId="4AE5DE34" w14:textId="77777777" w:rsidR="0044067F" w:rsidRPr="00DF524A" w:rsidRDefault="0044067F" w:rsidP="00E004D2">
                            <w:pPr>
                              <w:rPr>
                                <w:rFonts w:cs="Arial"/>
                                <w:b/>
                                <w:color w:val="FF0000"/>
                                <w:sz w:val="22"/>
                              </w:rPr>
                            </w:pPr>
                          </w:p>
                          <w:p w14:paraId="6EB48521" w14:textId="7A8A671C" w:rsidR="0044067F" w:rsidRDefault="0044067F" w:rsidP="00772CDB">
                            <w:pPr>
                              <w:pBdr>
                                <w:top w:val="single" w:sz="2" w:space="1" w:color="FFFFFF"/>
                                <w:left w:val="single" w:sz="2" w:space="0" w:color="FFFFFF"/>
                                <w:bottom w:val="single" w:sz="2" w:space="2" w:color="FFFFFF"/>
                                <w:right w:val="single" w:sz="2" w:space="4" w:color="FFFFFF"/>
                              </w:pBdr>
                              <w:tabs>
                                <w:tab w:val="left" w:pos="567"/>
                              </w:tabs>
                              <w:ind w:right="141"/>
                              <w:rPr>
                                <w:sz w:val="22"/>
                              </w:rPr>
                            </w:pPr>
                            <w:r>
                              <w:rPr>
                                <w:sz w:val="22"/>
                              </w:rPr>
                              <w:t xml:space="preserve">The 2020 Government Spending Review announced a pay freeze for 2021/22 for </w:t>
                            </w:r>
                            <w:proofErr w:type="gramStart"/>
                            <w:r>
                              <w:rPr>
                                <w:sz w:val="22"/>
                              </w:rPr>
                              <w:t>the majority of</w:t>
                            </w:r>
                            <w:proofErr w:type="gramEnd"/>
                            <w:r>
                              <w:rPr>
                                <w:sz w:val="22"/>
                              </w:rPr>
                              <w:t xml:space="preserve"> public sector staff, with a guaranteed a pay rise of at least £250 for all staff that earn less than £24,000 per year. At the time of writing this report, the pay negotiations are still ongoing for 2021/22, with the current offer of 1.75% made by the Employers having been rejected by the Trade Unions. The budget has however been adjusted to reflect an uplift of 1.75% in line with the current offer.</w:t>
                            </w:r>
                          </w:p>
                          <w:p w14:paraId="24B08E96" w14:textId="77777777" w:rsidR="0044067F" w:rsidRDefault="0044067F" w:rsidP="00772CDB">
                            <w:pPr>
                              <w:pBdr>
                                <w:top w:val="single" w:sz="2" w:space="1" w:color="FFFFFF"/>
                                <w:left w:val="single" w:sz="2" w:space="0" w:color="FFFFFF"/>
                                <w:bottom w:val="single" w:sz="2" w:space="2" w:color="FFFFFF"/>
                                <w:right w:val="single" w:sz="2" w:space="4" w:color="FFFFFF"/>
                              </w:pBdr>
                              <w:tabs>
                                <w:tab w:val="left" w:pos="567"/>
                              </w:tabs>
                              <w:ind w:right="141"/>
                              <w:rPr>
                                <w:sz w:val="22"/>
                              </w:rPr>
                            </w:pPr>
                          </w:p>
                          <w:p w14:paraId="04170725" w14:textId="3058872D" w:rsidR="0044067F" w:rsidRDefault="0044067F" w:rsidP="00772CDB">
                            <w:pPr>
                              <w:pBdr>
                                <w:top w:val="single" w:sz="2" w:space="1" w:color="FFFFFF"/>
                                <w:left w:val="single" w:sz="2" w:space="0" w:color="FFFFFF"/>
                                <w:bottom w:val="single" w:sz="2" w:space="2" w:color="FFFFFF"/>
                                <w:right w:val="single" w:sz="2" w:space="4" w:color="FFFFFF"/>
                              </w:pBdr>
                              <w:tabs>
                                <w:tab w:val="left" w:pos="567"/>
                              </w:tabs>
                              <w:ind w:right="141"/>
                              <w:rPr>
                                <w:sz w:val="22"/>
                              </w:rPr>
                            </w:pPr>
                            <w:r>
                              <w:rPr>
                                <w:sz w:val="22"/>
                              </w:rPr>
                              <w:t xml:space="preserve">In the Spending Review in October 2021, the Chancellor said that pay awards for public sector workers in 2022/23 would be in line with CPI. With the negotiations for 2021/22 yet to conclude, and no fixed point in time announced for the </w:t>
                            </w:r>
                            <w:r w:rsidRPr="005418CC">
                              <w:rPr>
                                <w:sz w:val="22"/>
                              </w:rPr>
                              <w:t>determination of CPI, a provision of 2% has been made in the pay budget, which equates to approximately £2</w:t>
                            </w:r>
                            <w:r w:rsidR="005418CC" w:rsidRPr="005418CC">
                              <w:rPr>
                                <w:sz w:val="22"/>
                              </w:rPr>
                              <w:t>30</w:t>
                            </w:r>
                            <w:r w:rsidRPr="005418CC">
                              <w:rPr>
                                <w:sz w:val="22"/>
                              </w:rPr>
                              <w:t>k per year, for</w:t>
                            </w:r>
                            <w:r w:rsidRPr="00630A81">
                              <w:rPr>
                                <w:sz w:val="22"/>
                              </w:rPr>
                              <w:t xml:space="preserve"> </w:t>
                            </w:r>
                            <w:r w:rsidR="004306D0">
                              <w:rPr>
                                <w:sz w:val="22"/>
                              </w:rPr>
                              <w:t>South Ribble</w:t>
                            </w:r>
                            <w:r w:rsidRPr="00630A81">
                              <w:rPr>
                                <w:sz w:val="22"/>
                              </w:rPr>
                              <w:t xml:space="preserve"> Council in 2022/23; the government’s proposals are not yet agreed with public sector unions.</w:t>
                            </w:r>
                            <w:r>
                              <w:rPr>
                                <w:sz w:val="22"/>
                              </w:rPr>
                              <w:t xml:space="preserve"> </w:t>
                            </w:r>
                          </w:p>
                          <w:p w14:paraId="70BB4DF2" w14:textId="4370CA97" w:rsidR="0044067F" w:rsidRDefault="0044067F" w:rsidP="00772CDB">
                            <w:pPr>
                              <w:pBdr>
                                <w:top w:val="single" w:sz="2" w:space="1" w:color="FFFFFF"/>
                                <w:left w:val="single" w:sz="2" w:space="0" w:color="FFFFFF"/>
                                <w:bottom w:val="single" w:sz="2" w:space="2" w:color="FFFFFF"/>
                                <w:right w:val="single" w:sz="2" w:space="4" w:color="FFFFFF"/>
                              </w:pBdr>
                              <w:tabs>
                                <w:tab w:val="left" w:pos="567"/>
                              </w:tabs>
                              <w:ind w:right="141"/>
                              <w:rPr>
                                <w:sz w:val="22"/>
                              </w:rPr>
                            </w:pPr>
                          </w:p>
                          <w:p w14:paraId="27F1A032" w14:textId="44BE541C" w:rsidR="0044067F" w:rsidRDefault="0044067F" w:rsidP="00015345">
                            <w:pPr>
                              <w:rPr>
                                <w:rFonts w:cs="Arial"/>
                                <w:b/>
                                <w:sz w:val="22"/>
                              </w:rPr>
                            </w:pPr>
                            <w:r>
                              <w:rPr>
                                <w:rFonts w:cs="Arial"/>
                                <w:b/>
                                <w:sz w:val="22"/>
                              </w:rPr>
                              <w:t>Delivery of Budgeted Savings and Additional Income</w:t>
                            </w:r>
                          </w:p>
                          <w:p w14:paraId="54AD9B06" w14:textId="77777777" w:rsidR="0044067F" w:rsidRDefault="0044067F" w:rsidP="00015345">
                            <w:pPr>
                              <w:rPr>
                                <w:rFonts w:cs="Arial"/>
                                <w:sz w:val="22"/>
                              </w:rPr>
                            </w:pPr>
                          </w:p>
                          <w:p w14:paraId="7B9B571B" w14:textId="28963D41" w:rsidR="0044067F" w:rsidRDefault="0044067F" w:rsidP="00015345">
                            <w:pPr>
                              <w:rPr>
                                <w:rFonts w:cs="Arial"/>
                                <w:sz w:val="22"/>
                              </w:rPr>
                            </w:pPr>
                            <w:r w:rsidRPr="005418CC">
                              <w:rPr>
                                <w:rFonts w:cs="Arial"/>
                                <w:sz w:val="22"/>
                              </w:rPr>
                              <w:t>The MTFS includes forecast cumulative gross budget deficits of £</w:t>
                            </w:r>
                            <w:r w:rsidR="005418CC" w:rsidRPr="005418CC">
                              <w:rPr>
                                <w:rFonts w:cs="Arial"/>
                                <w:sz w:val="22"/>
                              </w:rPr>
                              <w:t>0.</w:t>
                            </w:r>
                            <w:r w:rsidR="00BB3957">
                              <w:rPr>
                                <w:rFonts w:cs="Arial"/>
                                <w:sz w:val="22"/>
                              </w:rPr>
                              <w:t>619</w:t>
                            </w:r>
                            <w:r w:rsidRPr="005418CC">
                              <w:rPr>
                                <w:rFonts w:cs="Arial"/>
                                <w:sz w:val="22"/>
                              </w:rPr>
                              <w:t>m and £</w:t>
                            </w:r>
                            <w:r w:rsidR="005418CC" w:rsidRPr="005418CC">
                              <w:rPr>
                                <w:rFonts w:cs="Arial"/>
                                <w:sz w:val="22"/>
                              </w:rPr>
                              <w:t>0.</w:t>
                            </w:r>
                            <w:r w:rsidR="00BB3957">
                              <w:rPr>
                                <w:rFonts w:cs="Arial"/>
                                <w:sz w:val="22"/>
                              </w:rPr>
                              <w:t>732</w:t>
                            </w:r>
                            <w:r w:rsidRPr="005418CC">
                              <w:rPr>
                                <w:rFonts w:cs="Arial"/>
                                <w:sz w:val="22"/>
                              </w:rPr>
                              <w:t>m</w:t>
                            </w:r>
                            <w:r w:rsidRPr="007377E6">
                              <w:rPr>
                                <w:rFonts w:cs="Arial"/>
                                <w:sz w:val="22"/>
                              </w:rPr>
                              <w:t xml:space="preserve"> in 2023/24 and 2024/25 respectively. To balance the budget over the course of the MTFS we will need</w:t>
                            </w:r>
                            <w:r>
                              <w:rPr>
                                <w:rFonts w:cs="Arial"/>
                                <w:sz w:val="22"/>
                              </w:rPr>
                              <w:t xml:space="preserve"> to continue to develop the Transformation Programme and savings programme, including opportunities for income generation. The monitoring and robust challenge of all proposals is overseen by the council’s Shared Services Management Team and Shared Senior Leadership Team. Risks are reported to the Shared Services Management Team as well as Members, and actions are taken when required. Given the council’s likely increased dependency on generating income there will always be some risks that sit outside of the council’s control and are therefore more difficult to manage.</w:t>
                            </w:r>
                          </w:p>
                          <w:p w14:paraId="1169A8D0" w14:textId="77777777" w:rsidR="0044067F" w:rsidRDefault="0044067F" w:rsidP="00015345">
                            <w:pPr>
                              <w:rPr>
                                <w:rFonts w:cs="Arial"/>
                                <w:sz w:val="22"/>
                              </w:rPr>
                            </w:pPr>
                          </w:p>
                          <w:p w14:paraId="1D7DECBC" w14:textId="08462194" w:rsidR="0044067F" w:rsidRDefault="0044067F" w:rsidP="00015345">
                            <w:pPr>
                              <w:rPr>
                                <w:rFonts w:cs="Arial"/>
                                <w:sz w:val="22"/>
                              </w:rPr>
                            </w:pPr>
                            <w:r>
                              <w:rPr>
                                <w:rFonts w:cs="Arial"/>
                                <w:sz w:val="22"/>
                              </w:rPr>
                              <w:t xml:space="preserve">The council’s minimum general fund balance of </w:t>
                            </w:r>
                            <w:r w:rsidRPr="00015345">
                              <w:rPr>
                                <w:rFonts w:cs="Arial"/>
                                <w:sz w:val="22"/>
                              </w:rPr>
                              <w:t>£4m has</w:t>
                            </w:r>
                            <w:r>
                              <w:rPr>
                                <w:rFonts w:cs="Arial"/>
                                <w:sz w:val="22"/>
                              </w:rPr>
                              <w:t xml:space="preserve"> been set such that potential delays in bringing forward income or generating savings can be temporarily managed within council resources.</w:t>
                            </w:r>
                          </w:p>
                          <w:p w14:paraId="4A4993E3" w14:textId="77777777" w:rsidR="004306D0" w:rsidRDefault="004306D0" w:rsidP="000A2885">
                            <w:pPr>
                              <w:rPr>
                                <w:rFonts w:cs="Arial"/>
                                <w:sz w:val="22"/>
                              </w:rPr>
                            </w:pPr>
                          </w:p>
                          <w:p w14:paraId="479A2338" w14:textId="45750F71" w:rsidR="000A2885" w:rsidRDefault="004306D0" w:rsidP="000A2885">
                            <w:pPr>
                              <w:rPr>
                                <w:rFonts w:cs="Arial"/>
                                <w:sz w:val="22"/>
                              </w:rPr>
                            </w:pPr>
                            <w:r>
                              <w:rPr>
                                <w:rFonts w:cs="Arial"/>
                                <w:sz w:val="22"/>
                              </w:rPr>
                              <w:t>T</w:t>
                            </w:r>
                            <w:r w:rsidR="000A2885">
                              <w:rPr>
                                <w:rFonts w:cs="Arial"/>
                                <w:sz w:val="22"/>
                              </w:rPr>
                              <w:t xml:space="preserve">he council is still able to borrow from PWLB at low rates to fund its capital programme. However, government reforms have meant that </w:t>
                            </w:r>
                            <w:proofErr w:type="gramStart"/>
                            <w:r w:rsidR="000A2885">
                              <w:rPr>
                                <w:rFonts w:cs="Arial"/>
                                <w:sz w:val="22"/>
                              </w:rPr>
                              <w:t>in order to</w:t>
                            </w:r>
                            <w:proofErr w:type="gramEnd"/>
                            <w:r w:rsidR="000A2885">
                              <w:rPr>
                                <w:rFonts w:cs="Arial"/>
                                <w:sz w:val="22"/>
                              </w:rPr>
                              <w:t xml:space="preserve"> utilise these funds the council is prohibited from investing ‘primarily for yield’. This will not however prevent investment in schemes that meet the economic, regeneration and/or housing needs of the borough, and which may generate an income </w:t>
                            </w:r>
                            <w:proofErr w:type="gramStart"/>
                            <w:r w:rsidR="000A2885">
                              <w:rPr>
                                <w:rFonts w:cs="Arial"/>
                                <w:sz w:val="22"/>
                              </w:rPr>
                              <w:t>as a consequence</w:t>
                            </w:r>
                            <w:proofErr w:type="gramEnd"/>
                            <w:r w:rsidR="000A2885">
                              <w:rPr>
                                <w:rFonts w:cs="Arial"/>
                                <w:sz w:val="22"/>
                              </w:rPr>
                              <w:t xml:space="preserve"> or by-product of the investment. Although this will not affect the council’s current capital programme, this will need to be carefully considered when making future investment decisions.</w:t>
                            </w:r>
                          </w:p>
                          <w:p w14:paraId="074B6F5B" w14:textId="73FBB5BF" w:rsidR="0044067F" w:rsidRDefault="0044067F" w:rsidP="00772CDB">
                            <w:pPr>
                              <w:pBdr>
                                <w:top w:val="single" w:sz="2" w:space="1" w:color="FFFFFF"/>
                                <w:left w:val="single" w:sz="2" w:space="0" w:color="FFFFFF"/>
                                <w:bottom w:val="single" w:sz="2" w:space="2" w:color="FFFFFF"/>
                                <w:right w:val="single" w:sz="2" w:space="4" w:color="FFFFFF"/>
                              </w:pBdr>
                              <w:tabs>
                                <w:tab w:val="left" w:pos="567"/>
                              </w:tabs>
                              <w:ind w:right="141"/>
                              <w:rPr>
                                <w:sz w:val="22"/>
                              </w:rPr>
                            </w:pPr>
                          </w:p>
                          <w:p w14:paraId="317684C8" w14:textId="77777777" w:rsidR="000A2885" w:rsidRDefault="000A2885" w:rsidP="000A2885">
                            <w:pPr>
                              <w:rPr>
                                <w:rFonts w:cs="Arial"/>
                                <w:b/>
                                <w:sz w:val="22"/>
                              </w:rPr>
                            </w:pPr>
                            <w:r>
                              <w:rPr>
                                <w:rFonts w:cs="Arial"/>
                                <w:b/>
                                <w:sz w:val="22"/>
                              </w:rPr>
                              <w:t>Existing Income</w:t>
                            </w:r>
                          </w:p>
                          <w:p w14:paraId="2AD0C00E" w14:textId="53FCCE55" w:rsidR="000A2885" w:rsidRDefault="000A2885" w:rsidP="000A2885">
                            <w:pPr>
                              <w:rPr>
                                <w:rFonts w:cs="Arial"/>
                                <w:sz w:val="22"/>
                              </w:rPr>
                            </w:pPr>
                            <w:r>
                              <w:rPr>
                                <w:rFonts w:cs="Arial"/>
                                <w:sz w:val="22"/>
                              </w:rPr>
                              <w:t xml:space="preserve">The major </w:t>
                            </w:r>
                            <w:r w:rsidRPr="005418CC">
                              <w:rPr>
                                <w:rFonts w:cs="Arial"/>
                                <w:sz w:val="22"/>
                              </w:rPr>
                              <w:t xml:space="preserve">income streams that the council benefits from include planning, garden waste subscriptions and car parking, as well as commercial income from assets the council owns. Reductions in income outside the control of the council could leave services under-funded. </w:t>
                            </w:r>
                            <w:proofErr w:type="gramStart"/>
                            <w:r w:rsidRPr="005418CC">
                              <w:rPr>
                                <w:rFonts w:cs="Arial"/>
                                <w:sz w:val="22"/>
                              </w:rPr>
                              <w:t>Therefore</w:t>
                            </w:r>
                            <w:proofErr w:type="gramEnd"/>
                            <w:r w:rsidRPr="005418CC">
                              <w:rPr>
                                <w:rFonts w:cs="Arial"/>
                                <w:sz w:val="22"/>
                              </w:rPr>
                              <w:t xml:space="preserve"> the council has been prudent when budgeting for income and has set aside an income equalisation reserve </w:t>
                            </w:r>
                            <w:r w:rsidR="005418CC" w:rsidRPr="005418CC">
                              <w:rPr>
                                <w:rFonts w:cs="Arial"/>
                                <w:sz w:val="22"/>
                              </w:rPr>
                              <w:t>of £150k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2F41F" id="_x0000_t202" coordsize="21600,21600" o:spt="202" path="m,l,21600r21600,l21600,xe">
                <v:stroke joinstyle="miter"/>
                <v:path gradientshapeok="t" o:connecttype="rect"/>
              </v:shapetype>
              <v:shape id="Text Box 9" o:spid="_x0000_s1027" type="#_x0000_t202" style="position:absolute;left:0;text-align:left;margin-left:-23.25pt;margin-top:16.9pt;width:501.8pt;height:6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" fillcolor="#ffc000" strokecolor="#ffc000" strokeweight="3pt">
                <v:fill opacity="25443f"/>
                <v:textbox>
                  <w:txbxContent>
                    <w:p w14:paraId="7BBD4DB4" w14:textId="6F8A4735" w:rsidR="0044067F" w:rsidRDefault="0044067F" w:rsidP="00E004D2">
                      <w:pPr>
                        <w:rPr>
                          <w:rFonts w:cs="Arial"/>
                          <w:b/>
                          <w:sz w:val="22"/>
                        </w:rPr>
                      </w:pPr>
                      <w:r>
                        <w:rPr>
                          <w:rFonts w:cs="Arial"/>
                          <w:b/>
                          <w:sz w:val="22"/>
                        </w:rPr>
                        <w:t>Business Rates Appeals and Other Business Rates Adjustments</w:t>
                      </w:r>
                    </w:p>
                    <w:p w14:paraId="26DA9FB0" w14:textId="77777777" w:rsidR="0044067F" w:rsidRDefault="0044067F" w:rsidP="00E004D2">
                      <w:pPr>
                        <w:rPr>
                          <w:rFonts w:cs="Arial"/>
                          <w:b/>
                          <w:sz w:val="22"/>
                        </w:rPr>
                      </w:pPr>
                    </w:p>
                    <w:p w14:paraId="15BEF878" w14:textId="65BF6594" w:rsidR="0071420C" w:rsidRDefault="0044067F" w:rsidP="00E004D2">
                      <w:pPr>
                        <w:rPr>
                          <w:sz w:val="22"/>
                          <w:szCs w:val="18"/>
                        </w:rPr>
                      </w:pPr>
                      <w:r>
                        <w:rPr>
                          <w:sz w:val="22"/>
                          <w:szCs w:val="18"/>
                        </w:rPr>
                        <w:t xml:space="preserve">The council’s share of the provision for business rates appeals </w:t>
                      </w:r>
                      <w:r w:rsidRPr="001B1D30">
                        <w:rPr>
                          <w:sz w:val="22"/>
                          <w:szCs w:val="18"/>
                        </w:rPr>
                        <w:t>st</w:t>
                      </w:r>
                      <w:r w:rsidR="00025239">
                        <w:rPr>
                          <w:sz w:val="22"/>
                          <w:szCs w:val="18"/>
                        </w:rPr>
                        <w:t>ands</w:t>
                      </w:r>
                      <w:r w:rsidRPr="001B1D30">
                        <w:rPr>
                          <w:sz w:val="22"/>
                          <w:szCs w:val="18"/>
                        </w:rPr>
                        <w:t xml:space="preserve"> at </w:t>
                      </w:r>
                      <w:r w:rsidRPr="00030E75">
                        <w:rPr>
                          <w:sz w:val="22"/>
                          <w:szCs w:val="18"/>
                        </w:rPr>
                        <w:t>£</w:t>
                      </w:r>
                      <w:r w:rsidR="00030E75" w:rsidRPr="00030E75">
                        <w:rPr>
                          <w:sz w:val="22"/>
                          <w:szCs w:val="18"/>
                        </w:rPr>
                        <w:t>2.694</w:t>
                      </w:r>
                      <w:r w:rsidRPr="00030E75">
                        <w:rPr>
                          <w:sz w:val="22"/>
                          <w:szCs w:val="18"/>
                        </w:rPr>
                        <w:t xml:space="preserve">m </w:t>
                      </w:r>
                      <w:r w:rsidR="00025239" w:rsidRPr="00030E75">
                        <w:rPr>
                          <w:sz w:val="22"/>
                          <w:szCs w:val="18"/>
                        </w:rPr>
                        <w:t>in</w:t>
                      </w:r>
                      <w:r w:rsidRPr="00030E75">
                        <w:rPr>
                          <w:sz w:val="22"/>
                          <w:szCs w:val="18"/>
                        </w:rPr>
                        <w:t xml:space="preserve"> 2021/22</w:t>
                      </w:r>
                      <w:r w:rsidR="0071420C">
                        <w:rPr>
                          <w:sz w:val="22"/>
                          <w:szCs w:val="18"/>
                        </w:rPr>
                        <w:t>. A</w:t>
                      </w:r>
                      <w:r w:rsidRPr="001B1D30">
                        <w:rPr>
                          <w:sz w:val="22"/>
                          <w:szCs w:val="18"/>
                        </w:rPr>
                        <w:t xml:space="preserve">llowance has been made for </w:t>
                      </w:r>
                      <w:r w:rsidR="0071420C">
                        <w:rPr>
                          <w:sz w:val="22"/>
                          <w:szCs w:val="18"/>
                        </w:rPr>
                        <w:t xml:space="preserve">an </w:t>
                      </w:r>
                      <w:r w:rsidRPr="001B1D30">
                        <w:rPr>
                          <w:sz w:val="22"/>
                          <w:szCs w:val="18"/>
                        </w:rPr>
                        <w:t xml:space="preserve">additional provision of </w:t>
                      </w:r>
                      <w:r w:rsidRPr="00030E75">
                        <w:rPr>
                          <w:sz w:val="22"/>
                          <w:szCs w:val="18"/>
                        </w:rPr>
                        <w:t>£0.</w:t>
                      </w:r>
                      <w:r w:rsidR="00030E75" w:rsidRPr="00030E75">
                        <w:rPr>
                          <w:sz w:val="22"/>
                          <w:szCs w:val="18"/>
                        </w:rPr>
                        <w:t>536</w:t>
                      </w:r>
                      <w:r w:rsidRPr="00030E75">
                        <w:rPr>
                          <w:sz w:val="22"/>
                          <w:szCs w:val="18"/>
                        </w:rPr>
                        <w:t>m</w:t>
                      </w:r>
                      <w:r w:rsidR="0071420C">
                        <w:rPr>
                          <w:sz w:val="22"/>
                          <w:szCs w:val="18"/>
                        </w:rPr>
                        <w:t xml:space="preserve"> to allow for any further appeals against the 2017 rating list and any appeals resulting from the impact of Covid 19 </w:t>
                      </w:r>
                      <w:r w:rsidR="0071420C" w:rsidRPr="00030E75">
                        <w:rPr>
                          <w:sz w:val="22"/>
                          <w:szCs w:val="18"/>
                        </w:rPr>
                        <w:t>e.g. reduced demand for office accommodation.</w:t>
                      </w:r>
                      <w:r w:rsidR="0071420C">
                        <w:rPr>
                          <w:sz w:val="22"/>
                          <w:szCs w:val="18"/>
                        </w:rPr>
                        <w:t xml:space="preserve"> </w:t>
                      </w:r>
                    </w:p>
                    <w:p w14:paraId="1D657620" w14:textId="77777777" w:rsidR="0071420C" w:rsidRDefault="0071420C" w:rsidP="00E004D2">
                      <w:pPr>
                        <w:rPr>
                          <w:sz w:val="22"/>
                          <w:szCs w:val="18"/>
                        </w:rPr>
                      </w:pPr>
                    </w:p>
                    <w:p w14:paraId="3B16386F" w14:textId="176B0BB8" w:rsidR="0044067F" w:rsidRDefault="0044067F" w:rsidP="0071420C">
                      <w:pPr>
                        <w:rPr>
                          <w:sz w:val="22"/>
                          <w:szCs w:val="18"/>
                        </w:rPr>
                      </w:pPr>
                      <w:r>
                        <w:rPr>
                          <w:sz w:val="22"/>
                          <w:szCs w:val="18"/>
                        </w:rPr>
                        <w:t>Th</w:t>
                      </w:r>
                      <w:r w:rsidR="0071420C">
                        <w:rPr>
                          <w:sz w:val="22"/>
                          <w:szCs w:val="18"/>
                        </w:rPr>
                        <w:t xml:space="preserve">e impact of appeals will be continually monitored, however based upon current information, this increased level of provision </w:t>
                      </w:r>
                      <w:r>
                        <w:rPr>
                          <w:sz w:val="22"/>
                          <w:szCs w:val="18"/>
                        </w:rPr>
                        <w:t xml:space="preserve">is deemed </w:t>
                      </w:r>
                      <w:r w:rsidR="0071420C">
                        <w:rPr>
                          <w:sz w:val="22"/>
                          <w:szCs w:val="18"/>
                        </w:rPr>
                        <w:t>to be sufficient.</w:t>
                      </w:r>
                    </w:p>
                    <w:p w14:paraId="00AD422E" w14:textId="77777777" w:rsidR="0071420C" w:rsidRDefault="0071420C" w:rsidP="0071420C">
                      <w:pPr>
                        <w:rPr>
                          <w:rFonts w:cs="Arial"/>
                          <w:sz w:val="22"/>
                        </w:rPr>
                      </w:pPr>
                    </w:p>
                    <w:p w14:paraId="0F4499C3" w14:textId="245ACFE2" w:rsidR="0044067F" w:rsidRDefault="0044067F" w:rsidP="00E004D2">
                      <w:pPr>
                        <w:rPr>
                          <w:rFonts w:cs="Arial"/>
                          <w:b/>
                          <w:sz w:val="22"/>
                        </w:rPr>
                      </w:pPr>
                      <w:r>
                        <w:rPr>
                          <w:rFonts w:cs="Arial"/>
                          <w:b/>
                          <w:sz w:val="22"/>
                        </w:rPr>
                        <w:t xml:space="preserve">Pay Inflation </w:t>
                      </w:r>
                    </w:p>
                    <w:p w14:paraId="4AE5DE34" w14:textId="77777777" w:rsidR="0044067F" w:rsidRPr="00DF524A" w:rsidRDefault="0044067F" w:rsidP="00E004D2">
                      <w:pPr>
                        <w:rPr>
                          <w:rFonts w:cs="Arial"/>
                          <w:b/>
                          <w:color w:val="FF0000"/>
                          <w:sz w:val="22"/>
                        </w:rPr>
                      </w:pPr>
                    </w:p>
                    <w:p w14:paraId="6EB48521" w14:textId="7A8A671C" w:rsidR="0044067F" w:rsidRDefault="0044067F" w:rsidP="00772CDB">
                      <w:pPr>
                        <w:pBdr>
                          <w:top w:val="single" w:sz="2" w:space="1" w:color="FFFFFF"/>
                          <w:left w:val="single" w:sz="2" w:space="0" w:color="FFFFFF"/>
                          <w:bottom w:val="single" w:sz="2" w:space="2" w:color="FFFFFF"/>
                          <w:right w:val="single" w:sz="2" w:space="4" w:color="FFFFFF"/>
                        </w:pBdr>
                        <w:tabs>
                          <w:tab w:val="left" w:pos="567"/>
                        </w:tabs>
                        <w:ind w:right="141"/>
                        <w:rPr>
                          <w:sz w:val="22"/>
                        </w:rPr>
                      </w:pPr>
                      <w:r>
                        <w:rPr>
                          <w:sz w:val="22"/>
                        </w:rPr>
                        <w:t xml:space="preserve">The 2020 Government Spending Review announced a pay freeze for 2021/22 for </w:t>
                      </w:r>
                      <w:proofErr w:type="gramStart"/>
                      <w:r>
                        <w:rPr>
                          <w:sz w:val="22"/>
                        </w:rPr>
                        <w:t>the majority of</w:t>
                      </w:r>
                      <w:proofErr w:type="gramEnd"/>
                      <w:r>
                        <w:rPr>
                          <w:sz w:val="22"/>
                        </w:rPr>
                        <w:t xml:space="preserve"> public sector staff, with a guaranteed a pay rise of at least £250 for all staff that earn less than £24,000 per year. At the time of writing this report, the pay negotiations are still ongoing for 2021/22, with the current offer of 1.75% made by the Employers having been rejected by the Trade Unions. The budget has however been adjusted to reflect an uplift of 1.75% in line with the current offer.</w:t>
                      </w:r>
                    </w:p>
                    <w:p w14:paraId="24B08E96" w14:textId="77777777" w:rsidR="0044067F" w:rsidRDefault="0044067F" w:rsidP="00772CDB">
                      <w:pPr>
                        <w:pBdr>
                          <w:top w:val="single" w:sz="2" w:space="1" w:color="FFFFFF"/>
                          <w:left w:val="single" w:sz="2" w:space="0" w:color="FFFFFF"/>
                          <w:bottom w:val="single" w:sz="2" w:space="2" w:color="FFFFFF"/>
                          <w:right w:val="single" w:sz="2" w:space="4" w:color="FFFFFF"/>
                        </w:pBdr>
                        <w:tabs>
                          <w:tab w:val="left" w:pos="567"/>
                        </w:tabs>
                        <w:ind w:right="141"/>
                        <w:rPr>
                          <w:sz w:val="22"/>
                        </w:rPr>
                      </w:pPr>
                    </w:p>
                    <w:p w14:paraId="04170725" w14:textId="3058872D" w:rsidR="0044067F" w:rsidRDefault="0044067F" w:rsidP="00772CDB">
                      <w:pPr>
                        <w:pBdr>
                          <w:top w:val="single" w:sz="2" w:space="1" w:color="FFFFFF"/>
                          <w:left w:val="single" w:sz="2" w:space="0" w:color="FFFFFF"/>
                          <w:bottom w:val="single" w:sz="2" w:space="2" w:color="FFFFFF"/>
                          <w:right w:val="single" w:sz="2" w:space="4" w:color="FFFFFF"/>
                        </w:pBdr>
                        <w:tabs>
                          <w:tab w:val="left" w:pos="567"/>
                        </w:tabs>
                        <w:ind w:right="141"/>
                        <w:rPr>
                          <w:sz w:val="22"/>
                        </w:rPr>
                      </w:pPr>
                      <w:r>
                        <w:rPr>
                          <w:sz w:val="22"/>
                        </w:rPr>
                        <w:t xml:space="preserve">In the Spending Review in October 2021, the Chancellor said that pay awards for public sector workers in 2022/23 would be in line with CPI. With the negotiations for 2021/22 yet to conclude, and no fixed point in time announced for the </w:t>
                      </w:r>
                      <w:r w:rsidRPr="005418CC">
                        <w:rPr>
                          <w:sz w:val="22"/>
                        </w:rPr>
                        <w:t>determination of CPI, a provision of 2% has been made in the pay budget, which equates to approximately £2</w:t>
                      </w:r>
                      <w:r w:rsidR="005418CC" w:rsidRPr="005418CC">
                        <w:rPr>
                          <w:sz w:val="22"/>
                        </w:rPr>
                        <w:t>30</w:t>
                      </w:r>
                      <w:r w:rsidRPr="005418CC">
                        <w:rPr>
                          <w:sz w:val="22"/>
                        </w:rPr>
                        <w:t>k per year, for</w:t>
                      </w:r>
                      <w:r w:rsidRPr="00630A81">
                        <w:rPr>
                          <w:sz w:val="22"/>
                        </w:rPr>
                        <w:t xml:space="preserve"> </w:t>
                      </w:r>
                      <w:r w:rsidR="004306D0">
                        <w:rPr>
                          <w:sz w:val="22"/>
                        </w:rPr>
                        <w:t>South Ribble</w:t>
                      </w:r>
                      <w:r w:rsidRPr="00630A81">
                        <w:rPr>
                          <w:sz w:val="22"/>
                        </w:rPr>
                        <w:t xml:space="preserve"> Council in 2022/23; the government’s proposals are not yet agreed with public sector unions.</w:t>
                      </w:r>
                      <w:r>
                        <w:rPr>
                          <w:sz w:val="22"/>
                        </w:rPr>
                        <w:t xml:space="preserve"> </w:t>
                      </w:r>
                    </w:p>
                    <w:p w14:paraId="70BB4DF2" w14:textId="4370CA97" w:rsidR="0044067F" w:rsidRDefault="0044067F" w:rsidP="00772CDB">
                      <w:pPr>
                        <w:pBdr>
                          <w:top w:val="single" w:sz="2" w:space="1" w:color="FFFFFF"/>
                          <w:left w:val="single" w:sz="2" w:space="0" w:color="FFFFFF"/>
                          <w:bottom w:val="single" w:sz="2" w:space="2" w:color="FFFFFF"/>
                          <w:right w:val="single" w:sz="2" w:space="4" w:color="FFFFFF"/>
                        </w:pBdr>
                        <w:tabs>
                          <w:tab w:val="left" w:pos="567"/>
                        </w:tabs>
                        <w:ind w:right="141"/>
                        <w:rPr>
                          <w:sz w:val="22"/>
                        </w:rPr>
                      </w:pPr>
                    </w:p>
                    <w:p w14:paraId="27F1A032" w14:textId="44BE541C" w:rsidR="0044067F" w:rsidRDefault="0044067F" w:rsidP="00015345">
                      <w:pPr>
                        <w:rPr>
                          <w:rFonts w:cs="Arial"/>
                          <w:b/>
                          <w:sz w:val="22"/>
                        </w:rPr>
                      </w:pPr>
                      <w:r>
                        <w:rPr>
                          <w:rFonts w:cs="Arial"/>
                          <w:b/>
                          <w:sz w:val="22"/>
                        </w:rPr>
                        <w:t>Delivery of Budgeted Savings and Additional Income</w:t>
                      </w:r>
                    </w:p>
                    <w:p w14:paraId="54AD9B06" w14:textId="77777777" w:rsidR="0044067F" w:rsidRDefault="0044067F" w:rsidP="00015345">
                      <w:pPr>
                        <w:rPr>
                          <w:rFonts w:cs="Arial"/>
                          <w:sz w:val="22"/>
                        </w:rPr>
                      </w:pPr>
                    </w:p>
                    <w:p w14:paraId="7B9B571B" w14:textId="28963D41" w:rsidR="0044067F" w:rsidRDefault="0044067F" w:rsidP="00015345">
                      <w:pPr>
                        <w:rPr>
                          <w:rFonts w:cs="Arial"/>
                          <w:sz w:val="22"/>
                        </w:rPr>
                      </w:pPr>
                      <w:r w:rsidRPr="005418CC">
                        <w:rPr>
                          <w:rFonts w:cs="Arial"/>
                          <w:sz w:val="22"/>
                        </w:rPr>
                        <w:t>The MTFS includes forecast cumulative gross budget deficits of £</w:t>
                      </w:r>
                      <w:r w:rsidR="005418CC" w:rsidRPr="005418CC">
                        <w:rPr>
                          <w:rFonts w:cs="Arial"/>
                          <w:sz w:val="22"/>
                        </w:rPr>
                        <w:t>0.</w:t>
                      </w:r>
                      <w:r w:rsidR="00BB3957">
                        <w:rPr>
                          <w:rFonts w:cs="Arial"/>
                          <w:sz w:val="22"/>
                        </w:rPr>
                        <w:t>619</w:t>
                      </w:r>
                      <w:r w:rsidRPr="005418CC">
                        <w:rPr>
                          <w:rFonts w:cs="Arial"/>
                          <w:sz w:val="22"/>
                        </w:rPr>
                        <w:t>m and £</w:t>
                      </w:r>
                      <w:r w:rsidR="005418CC" w:rsidRPr="005418CC">
                        <w:rPr>
                          <w:rFonts w:cs="Arial"/>
                          <w:sz w:val="22"/>
                        </w:rPr>
                        <w:t>0.</w:t>
                      </w:r>
                      <w:r w:rsidR="00BB3957">
                        <w:rPr>
                          <w:rFonts w:cs="Arial"/>
                          <w:sz w:val="22"/>
                        </w:rPr>
                        <w:t>732</w:t>
                      </w:r>
                      <w:r w:rsidRPr="005418CC">
                        <w:rPr>
                          <w:rFonts w:cs="Arial"/>
                          <w:sz w:val="22"/>
                        </w:rPr>
                        <w:t>m</w:t>
                      </w:r>
                      <w:r w:rsidRPr="007377E6">
                        <w:rPr>
                          <w:rFonts w:cs="Arial"/>
                          <w:sz w:val="22"/>
                        </w:rPr>
                        <w:t xml:space="preserve"> in 2023/24 and 2024/25 respectively. To balance the budget over the course of the MTFS we will need</w:t>
                      </w:r>
                      <w:r>
                        <w:rPr>
                          <w:rFonts w:cs="Arial"/>
                          <w:sz w:val="22"/>
                        </w:rPr>
                        <w:t xml:space="preserve"> to continue to develop the Transformation Programme and savings programme, including opportunities for income generation. The monitoring and robust challenge of all proposals is overseen by the council’s Shared Services Management Team and Shared Senior Leadership Team. Risks are reported to the Shared Services Management Team as well as Members, and actions are taken when required. Given the council’s likely increased dependency on generating income there will always be some risks that sit outside of the council’s control and are therefore more difficult to manage.</w:t>
                      </w:r>
                    </w:p>
                    <w:p w14:paraId="1169A8D0" w14:textId="77777777" w:rsidR="0044067F" w:rsidRDefault="0044067F" w:rsidP="00015345">
                      <w:pPr>
                        <w:rPr>
                          <w:rFonts w:cs="Arial"/>
                          <w:sz w:val="22"/>
                        </w:rPr>
                      </w:pPr>
                    </w:p>
                    <w:p w14:paraId="1D7DECBC" w14:textId="08462194" w:rsidR="0044067F" w:rsidRDefault="0044067F" w:rsidP="00015345">
                      <w:pPr>
                        <w:rPr>
                          <w:rFonts w:cs="Arial"/>
                          <w:sz w:val="22"/>
                        </w:rPr>
                      </w:pPr>
                      <w:r>
                        <w:rPr>
                          <w:rFonts w:cs="Arial"/>
                          <w:sz w:val="22"/>
                        </w:rPr>
                        <w:t xml:space="preserve">The council’s minimum general fund balance of </w:t>
                      </w:r>
                      <w:r w:rsidRPr="00015345">
                        <w:rPr>
                          <w:rFonts w:cs="Arial"/>
                          <w:sz w:val="22"/>
                        </w:rPr>
                        <w:t>£4m has</w:t>
                      </w:r>
                      <w:r>
                        <w:rPr>
                          <w:rFonts w:cs="Arial"/>
                          <w:sz w:val="22"/>
                        </w:rPr>
                        <w:t xml:space="preserve"> been set such that potential delays in bringing forward income or generating savings can be temporarily managed within council resources.</w:t>
                      </w:r>
                    </w:p>
                    <w:p w14:paraId="4A4993E3" w14:textId="77777777" w:rsidR="004306D0" w:rsidRDefault="004306D0" w:rsidP="000A2885">
                      <w:pPr>
                        <w:rPr>
                          <w:rFonts w:cs="Arial"/>
                          <w:sz w:val="22"/>
                        </w:rPr>
                      </w:pPr>
                    </w:p>
                    <w:p w14:paraId="479A2338" w14:textId="45750F71" w:rsidR="000A2885" w:rsidRDefault="004306D0" w:rsidP="000A2885">
                      <w:pPr>
                        <w:rPr>
                          <w:rFonts w:cs="Arial"/>
                          <w:sz w:val="22"/>
                        </w:rPr>
                      </w:pPr>
                      <w:r>
                        <w:rPr>
                          <w:rFonts w:cs="Arial"/>
                          <w:sz w:val="22"/>
                        </w:rPr>
                        <w:t>T</w:t>
                      </w:r>
                      <w:r w:rsidR="000A2885">
                        <w:rPr>
                          <w:rFonts w:cs="Arial"/>
                          <w:sz w:val="22"/>
                        </w:rPr>
                        <w:t xml:space="preserve">he council is still able to borrow from PWLB at low rates to fund its capital programme. However, government reforms have meant that </w:t>
                      </w:r>
                      <w:proofErr w:type="gramStart"/>
                      <w:r w:rsidR="000A2885">
                        <w:rPr>
                          <w:rFonts w:cs="Arial"/>
                          <w:sz w:val="22"/>
                        </w:rPr>
                        <w:t>in order to</w:t>
                      </w:r>
                      <w:proofErr w:type="gramEnd"/>
                      <w:r w:rsidR="000A2885">
                        <w:rPr>
                          <w:rFonts w:cs="Arial"/>
                          <w:sz w:val="22"/>
                        </w:rPr>
                        <w:t xml:space="preserve"> utilise these funds the council is prohibited from investing ‘primarily for yield’. This will not however prevent investment in schemes that meet the economic, regeneration and/or housing needs of the borough, and which may generate an income </w:t>
                      </w:r>
                      <w:proofErr w:type="gramStart"/>
                      <w:r w:rsidR="000A2885">
                        <w:rPr>
                          <w:rFonts w:cs="Arial"/>
                          <w:sz w:val="22"/>
                        </w:rPr>
                        <w:t>as a consequence</w:t>
                      </w:r>
                      <w:proofErr w:type="gramEnd"/>
                      <w:r w:rsidR="000A2885">
                        <w:rPr>
                          <w:rFonts w:cs="Arial"/>
                          <w:sz w:val="22"/>
                        </w:rPr>
                        <w:t xml:space="preserve"> or by-product of the investment. Although this will not affect the council’s current capital programme, this will need to be carefully considered when making future investment decisions.</w:t>
                      </w:r>
                    </w:p>
                    <w:p w14:paraId="074B6F5B" w14:textId="73FBB5BF" w:rsidR="0044067F" w:rsidRDefault="0044067F" w:rsidP="00772CDB">
                      <w:pPr>
                        <w:pBdr>
                          <w:top w:val="single" w:sz="2" w:space="1" w:color="FFFFFF"/>
                          <w:left w:val="single" w:sz="2" w:space="0" w:color="FFFFFF"/>
                          <w:bottom w:val="single" w:sz="2" w:space="2" w:color="FFFFFF"/>
                          <w:right w:val="single" w:sz="2" w:space="4" w:color="FFFFFF"/>
                        </w:pBdr>
                        <w:tabs>
                          <w:tab w:val="left" w:pos="567"/>
                        </w:tabs>
                        <w:ind w:right="141"/>
                        <w:rPr>
                          <w:sz w:val="22"/>
                        </w:rPr>
                      </w:pPr>
                    </w:p>
                    <w:p w14:paraId="317684C8" w14:textId="77777777" w:rsidR="000A2885" w:rsidRDefault="000A2885" w:rsidP="000A2885">
                      <w:pPr>
                        <w:rPr>
                          <w:rFonts w:cs="Arial"/>
                          <w:b/>
                          <w:sz w:val="22"/>
                        </w:rPr>
                      </w:pPr>
                      <w:r>
                        <w:rPr>
                          <w:rFonts w:cs="Arial"/>
                          <w:b/>
                          <w:sz w:val="22"/>
                        </w:rPr>
                        <w:t>Existing Income</w:t>
                      </w:r>
                    </w:p>
                    <w:p w14:paraId="2AD0C00E" w14:textId="53FCCE55" w:rsidR="000A2885" w:rsidRDefault="000A2885" w:rsidP="000A2885">
                      <w:pPr>
                        <w:rPr>
                          <w:rFonts w:cs="Arial"/>
                          <w:sz w:val="22"/>
                        </w:rPr>
                      </w:pPr>
                      <w:r>
                        <w:rPr>
                          <w:rFonts w:cs="Arial"/>
                          <w:sz w:val="22"/>
                        </w:rPr>
                        <w:t xml:space="preserve">The major </w:t>
                      </w:r>
                      <w:r w:rsidRPr="005418CC">
                        <w:rPr>
                          <w:rFonts w:cs="Arial"/>
                          <w:sz w:val="22"/>
                        </w:rPr>
                        <w:t xml:space="preserve">income streams that the council benefits from include planning, garden waste subscriptions and car parking, as well as commercial income from assets the council owns. Reductions in income outside the control of the council could leave services under-funded. </w:t>
                      </w:r>
                      <w:proofErr w:type="gramStart"/>
                      <w:r w:rsidRPr="005418CC">
                        <w:rPr>
                          <w:rFonts w:cs="Arial"/>
                          <w:sz w:val="22"/>
                        </w:rPr>
                        <w:t>Therefore</w:t>
                      </w:r>
                      <w:proofErr w:type="gramEnd"/>
                      <w:r w:rsidRPr="005418CC">
                        <w:rPr>
                          <w:rFonts w:cs="Arial"/>
                          <w:sz w:val="22"/>
                        </w:rPr>
                        <w:t xml:space="preserve"> the council has been prudent when budgeting for income and has set aside an income equalisation reserve </w:t>
                      </w:r>
                      <w:r w:rsidR="005418CC" w:rsidRPr="005418CC">
                        <w:rPr>
                          <w:rFonts w:cs="Arial"/>
                          <w:sz w:val="22"/>
                        </w:rPr>
                        <w:t>of £150k</w:t>
                      </w:r>
                    </w:p>
                  </w:txbxContent>
                </v:textbox>
              </v:shape>
            </w:pict>
          </mc:Fallback>
        </mc:AlternateContent>
      </w:r>
    </w:p>
    <w:p w14:paraId="5B22A74C" w14:textId="77777777" w:rsidR="00E004D2" w:rsidRDefault="00E004D2" w:rsidP="00E004D2">
      <w:pPr>
        <w:rPr>
          <w:rFonts w:cs="Arial"/>
          <w:b/>
          <w:color w:val="FFC000"/>
          <w:sz w:val="2"/>
          <w:szCs w:val="24"/>
          <w:u w:val="single"/>
        </w:rPr>
      </w:pPr>
    </w:p>
    <w:p w14:paraId="5B78FE67" w14:textId="3B019FA4" w:rsidR="00E004D2" w:rsidRDefault="00E004D2" w:rsidP="00E004D2">
      <w:pPr>
        <w:rPr>
          <w:rFonts w:cs="Arial"/>
          <w:b/>
          <w:color w:val="FFC000"/>
          <w:szCs w:val="24"/>
          <w:u w:val="single"/>
        </w:rPr>
      </w:pPr>
    </w:p>
    <w:p w14:paraId="4BC48F8E" w14:textId="74116AC4" w:rsidR="00E004D2" w:rsidRDefault="00E004D2" w:rsidP="00E004D2">
      <w:pPr>
        <w:rPr>
          <w:rFonts w:cs="Arial"/>
          <w:b/>
          <w:color w:val="FFC000"/>
          <w:szCs w:val="24"/>
          <w:u w:val="single"/>
        </w:rPr>
      </w:pPr>
    </w:p>
    <w:p w14:paraId="4EC42821" w14:textId="221B7377" w:rsidR="00E004D2" w:rsidRDefault="00E004D2" w:rsidP="00E004D2">
      <w:pPr>
        <w:rPr>
          <w:rFonts w:cs="Arial"/>
          <w:b/>
          <w:color w:val="FFC000"/>
          <w:szCs w:val="24"/>
          <w:u w:val="single"/>
        </w:rPr>
      </w:pPr>
    </w:p>
    <w:p w14:paraId="56446941" w14:textId="1DAD39B3" w:rsidR="00E004D2" w:rsidRDefault="00E004D2" w:rsidP="00E004D2">
      <w:pPr>
        <w:rPr>
          <w:rFonts w:cs="Arial"/>
          <w:szCs w:val="24"/>
        </w:rPr>
      </w:pPr>
    </w:p>
    <w:p w14:paraId="1986D8B4" w14:textId="1B3FFBDE" w:rsidR="00E004D2" w:rsidRDefault="00E004D2" w:rsidP="00E004D2">
      <w:pPr>
        <w:jc w:val="right"/>
        <w:rPr>
          <w:rFonts w:cs="Arial"/>
          <w:szCs w:val="24"/>
        </w:rPr>
      </w:pPr>
    </w:p>
    <w:p w14:paraId="65342F0E" w14:textId="77777777" w:rsidR="00E004D2" w:rsidRDefault="00E004D2" w:rsidP="00E004D2">
      <w:pPr>
        <w:rPr>
          <w:rFonts w:cs="Arial"/>
          <w:szCs w:val="24"/>
        </w:rPr>
      </w:pPr>
    </w:p>
    <w:p w14:paraId="1DFE18BC" w14:textId="48B53C07" w:rsidR="00E004D2" w:rsidRDefault="00E004D2" w:rsidP="00E004D2">
      <w:pPr>
        <w:rPr>
          <w:rFonts w:cs="Arial"/>
          <w:szCs w:val="24"/>
        </w:rPr>
      </w:pPr>
    </w:p>
    <w:p w14:paraId="3807A64F" w14:textId="5AC4E477" w:rsidR="00E004D2" w:rsidRDefault="00E004D2" w:rsidP="00E004D2">
      <w:pPr>
        <w:jc w:val="right"/>
        <w:rPr>
          <w:rFonts w:cs="Arial"/>
          <w:szCs w:val="24"/>
        </w:rPr>
      </w:pPr>
    </w:p>
    <w:p w14:paraId="1883FF84" w14:textId="1B39731E" w:rsidR="00E004D2" w:rsidRDefault="00E004D2" w:rsidP="00E004D2">
      <w:pPr>
        <w:jc w:val="right"/>
        <w:rPr>
          <w:rFonts w:cs="Arial"/>
          <w:szCs w:val="24"/>
        </w:rPr>
      </w:pPr>
    </w:p>
    <w:p w14:paraId="1AEE2420" w14:textId="678F8D02" w:rsidR="00E004D2" w:rsidRDefault="00E004D2" w:rsidP="00E004D2">
      <w:pPr>
        <w:jc w:val="right"/>
        <w:rPr>
          <w:rFonts w:cs="Arial"/>
          <w:szCs w:val="24"/>
        </w:rPr>
      </w:pPr>
    </w:p>
    <w:p w14:paraId="3CECA9CE" w14:textId="49BF5892" w:rsidR="00E004D2" w:rsidRDefault="00E004D2" w:rsidP="00E004D2">
      <w:pPr>
        <w:jc w:val="right"/>
        <w:rPr>
          <w:rFonts w:cs="Arial"/>
          <w:szCs w:val="24"/>
        </w:rPr>
      </w:pPr>
    </w:p>
    <w:p w14:paraId="5E3B16EE" w14:textId="1B802C17" w:rsidR="00E004D2" w:rsidRDefault="00E004D2" w:rsidP="00E004D2">
      <w:pPr>
        <w:jc w:val="right"/>
        <w:rPr>
          <w:rFonts w:cs="Arial"/>
          <w:szCs w:val="24"/>
        </w:rPr>
      </w:pPr>
    </w:p>
    <w:p w14:paraId="1BEB9329" w14:textId="764DF9F9" w:rsidR="00E004D2" w:rsidRDefault="00E004D2" w:rsidP="00E004D2">
      <w:pPr>
        <w:jc w:val="right"/>
        <w:rPr>
          <w:rFonts w:cs="Arial"/>
          <w:szCs w:val="24"/>
        </w:rPr>
      </w:pPr>
    </w:p>
    <w:p w14:paraId="3779588C" w14:textId="64375199" w:rsidR="00E004D2" w:rsidRDefault="00E004D2" w:rsidP="00E004D2">
      <w:pPr>
        <w:jc w:val="right"/>
        <w:rPr>
          <w:rFonts w:cs="Arial"/>
          <w:szCs w:val="24"/>
        </w:rPr>
      </w:pPr>
    </w:p>
    <w:p w14:paraId="4546C5BB" w14:textId="3046EC83" w:rsidR="00E004D2" w:rsidRDefault="00E004D2" w:rsidP="00E004D2">
      <w:pPr>
        <w:jc w:val="right"/>
        <w:rPr>
          <w:rFonts w:cs="Arial"/>
          <w:szCs w:val="24"/>
        </w:rPr>
      </w:pPr>
    </w:p>
    <w:p w14:paraId="471C6CBA" w14:textId="404DA036" w:rsidR="00E004D2" w:rsidRDefault="00E004D2" w:rsidP="00E004D2">
      <w:pPr>
        <w:jc w:val="right"/>
        <w:rPr>
          <w:rFonts w:cs="Arial"/>
          <w:szCs w:val="24"/>
        </w:rPr>
      </w:pPr>
    </w:p>
    <w:p w14:paraId="2883F496" w14:textId="6CF07BBD" w:rsidR="00E004D2" w:rsidRDefault="00E004D2" w:rsidP="00E004D2">
      <w:pPr>
        <w:jc w:val="right"/>
        <w:rPr>
          <w:rFonts w:cs="Arial"/>
          <w:szCs w:val="24"/>
        </w:rPr>
      </w:pPr>
    </w:p>
    <w:p w14:paraId="694AF03D" w14:textId="21316444" w:rsidR="00E004D2" w:rsidRDefault="00E004D2" w:rsidP="00E004D2">
      <w:pPr>
        <w:jc w:val="right"/>
        <w:rPr>
          <w:rFonts w:cs="Arial"/>
          <w:szCs w:val="24"/>
        </w:rPr>
      </w:pPr>
    </w:p>
    <w:p w14:paraId="7AEF3484" w14:textId="77777777" w:rsidR="00E004D2" w:rsidRDefault="00E004D2" w:rsidP="00E004D2">
      <w:pPr>
        <w:jc w:val="right"/>
        <w:rPr>
          <w:rFonts w:cs="Arial"/>
          <w:szCs w:val="24"/>
        </w:rPr>
      </w:pPr>
    </w:p>
    <w:p w14:paraId="45BE9C6C" w14:textId="77777777" w:rsidR="00E004D2" w:rsidRDefault="00E004D2" w:rsidP="00E004D2">
      <w:pPr>
        <w:jc w:val="right"/>
        <w:rPr>
          <w:rFonts w:cs="Arial"/>
          <w:szCs w:val="24"/>
        </w:rPr>
      </w:pPr>
    </w:p>
    <w:p w14:paraId="3C83A770" w14:textId="77777777" w:rsidR="00E004D2" w:rsidRDefault="00E004D2" w:rsidP="00E004D2">
      <w:pPr>
        <w:jc w:val="right"/>
        <w:rPr>
          <w:rFonts w:cs="Arial"/>
          <w:szCs w:val="24"/>
        </w:rPr>
      </w:pPr>
    </w:p>
    <w:p w14:paraId="21BB431D" w14:textId="77777777" w:rsidR="00E004D2" w:rsidRDefault="00E004D2" w:rsidP="00E004D2">
      <w:pPr>
        <w:jc w:val="right"/>
        <w:rPr>
          <w:rFonts w:cs="Arial"/>
          <w:szCs w:val="24"/>
        </w:rPr>
      </w:pPr>
    </w:p>
    <w:p w14:paraId="280A77B1" w14:textId="77777777" w:rsidR="00E004D2" w:rsidRDefault="00E004D2" w:rsidP="00E004D2">
      <w:pPr>
        <w:jc w:val="right"/>
        <w:rPr>
          <w:rFonts w:cs="Arial"/>
          <w:szCs w:val="24"/>
        </w:rPr>
      </w:pPr>
    </w:p>
    <w:p w14:paraId="349E9812" w14:textId="77777777" w:rsidR="00E004D2" w:rsidRDefault="00E004D2" w:rsidP="00E004D2">
      <w:pPr>
        <w:jc w:val="right"/>
        <w:rPr>
          <w:rFonts w:cs="Arial"/>
          <w:szCs w:val="24"/>
        </w:rPr>
      </w:pPr>
    </w:p>
    <w:p w14:paraId="433CAB0D" w14:textId="77777777" w:rsidR="00E004D2" w:rsidRDefault="00E004D2" w:rsidP="00E004D2">
      <w:pPr>
        <w:jc w:val="right"/>
        <w:rPr>
          <w:rFonts w:cs="Arial"/>
          <w:szCs w:val="24"/>
        </w:rPr>
      </w:pPr>
    </w:p>
    <w:p w14:paraId="097AFAA0" w14:textId="77777777" w:rsidR="00E004D2" w:rsidRDefault="00E004D2" w:rsidP="00E004D2">
      <w:pPr>
        <w:jc w:val="right"/>
        <w:rPr>
          <w:rFonts w:cs="Arial"/>
          <w:szCs w:val="24"/>
        </w:rPr>
      </w:pPr>
    </w:p>
    <w:p w14:paraId="4DED8AFD" w14:textId="77777777" w:rsidR="00E004D2" w:rsidRDefault="00E004D2" w:rsidP="00E004D2">
      <w:pPr>
        <w:jc w:val="right"/>
        <w:rPr>
          <w:rFonts w:cs="Arial"/>
          <w:szCs w:val="24"/>
        </w:rPr>
      </w:pPr>
    </w:p>
    <w:p w14:paraId="2CF9F4F6" w14:textId="77777777" w:rsidR="00E004D2" w:rsidRDefault="00E004D2" w:rsidP="00E004D2">
      <w:pPr>
        <w:jc w:val="right"/>
        <w:rPr>
          <w:rFonts w:cs="Arial"/>
          <w:szCs w:val="24"/>
        </w:rPr>
      </w:pPr>
    </w:p>
    <w:p w14:paraId="0C374E2C" w14:textId="77777777" w:rsidR="00E004D2" w:rsidRDefault="00E004D2" w:rsidP="00E004D2">
      <w:pPr>
        <w:jc w:val="right"/>
        <w:rPr>
          <w:rFonts w:cs="Arial"/>
          <w:szCs w:val="24"/>
        </w:rPr>
      </w:pPr>
    </w:p>
    <w:p w14:paraId="40BEA86E" w14:textId="77777777" w:rsidR="00E004D2" w:rsidRDefault="00E004D2" w:rsidP="00E004D2">
      <w:pPr>
        <w:jc w:val="right"/>
        <w:rPr>
          <w:rFonts w:cs="Arial"/>
          <w:szCs w:val="24"/>
        </w:rPr>
      </w:pPr>
    </w:p>
    <w:p w14:paraId="6D505182" w14:textId="77777777" w:rsidR="00E004D2" w:rsidRDefault="00E004D2" w:rsidP="00E004D2">
      <w:pPr>
        <w:jc w:val="right"/>
        <w:rPr>
          <w:rFonts w:cs="Arial"/>
          <w:szCs w:val="24"/>
        </w:rPr>
      </w:pPr>
    </w:p>
    <w:p w14:paraId="3D53E85B" w14:textId="77777777" w:rsidR="00E004D2" w:rsidRDefault="00E004D2" w:rsidP="00E004D2">
      <w:pPr>
        <w:jc w:val="right"/>
        <w:rPr>
          <w:rFonts w:cs="Arial"/>
          <w:szCs w:val="24"/>
        </w:rPr>
      </w:pPr>
    </w:p>
    <w:p w14:paraId="5705B5E9" w14:textId="77777777" w:rsidR="00E004D2" w:rsidRDefault="00E004D2" w:rsidP="00E004D2">
      <w:pPr>
        <w:jc w:val="right"/>
        <w:rPr>
          <w:rFonts w:cs="Arial"/>
          <w:szCs w:val="24"/>
        </w:rPr>
      </w:pPr>
    </w:p>
    <w:p w14:paraId="11209718" w14:textId="77777777" w:rsidR="00E004D2" w:rsidRDefault="00E004D2" w:rsidP="00E004D2">
      <w:pPr>
        <w:jc w:val="right"/>
        <w:rPr>
          <w:rFonts w:cs="Arial"/>
          <w:szCs w:val="24"/>
        </w:rPr>
      </w:pPr>
    </w:p>
    <w:p w14:paraId="2A513954" w14:textId="77777777" w:rsidR="00E004D2" w:rsidRDefault="00E004D2" w:rsidP="00E004D2">
      <w:pPr>
        <w:jc w:val="right"/>
        <w:rPr>
          <w:rFonts w:cs="Arial"/>
          <w:szCs w:val="24"/>
        </w:rPr>
      </w:pPr>
    </w:p>
    <w:p w14:paraId="09111B8B" w14:textId="77777777" w:rsidR="00E004D2" w:rsidRDefault="00E004D2" w:rsidP="00E004D2">
      <w:pPr>
        <w:jc w:val="right"/>
        <w:rPr>
          <w:rFonts w:cs="Arial"/>
          <w:szCs w:val="24"/>
        </w:rPr>
      </w:pPr>
    </w:p>
    <w:p w14:paraId="2E6CA3D0" w14:textId="72B01523" w:rsidR="00E004D2" w:rsidRDefault="00E004D2" w:rsidP="00E004D2">
      <w:pPr>
        <w:rPr>
          <w:rFonts w:cs="Arial"/>
          <w:b/>
          <w:color w:val="92D050"/>
          <w:szCs w:val="24"/>
          <w:u w:val="single"/>
        </w:rPr>
      </w:pPr>
    </w:p>
    <w:p w14:paraId="18D537E9" w14:textId="4D86587E" w:rsidR="00E004D2" w:rsidRDefault="00E004D2" w:rsidP="00E004D2">
      <w:pPr>
        <w:rPr>
          <w:rFonts w:cs="Arial"/>
          <w:b/>
          <w:color w:val="92D050"/>
          <w:szCs w:val="24"/>
          <w:u w:val="single"/>
        </w:rPr>
      </w:pPr>
    </w:p>
    <w:p w14:paraId="46CE94D9" w14:textId="39099888" w:rsidR="00E004D2" w:rsidRDefault="00E004D2" w:rsidP="00E004D2">
      <w:pPr>
        <w:rPr>
          <w:rFonts w:cs="Arial"/>
          <w:b/>
          <w:color w:val="92D050"/>
          <w:szCs w:val="24"/>
          <w:u w:val="single"/>
        </w:rPr>
      </w:pPr>
    </w:p>
    <w:p w14:paraId="7E31334D" w14:textId="43843D21" w:rsidR="00E004D2" w:rsidRDefault="00E004D2" w:rsidP="00E004D2">
      <w:pPr>
        <w:rPr>
          <w:rFonts w:cs="Arial"/>
          <w:b/>
          <w:color w:val="92D050"/>
          <w:szCs w:val="24"/>
          <w:u w:val="single"/>
        </w:rPr>
      </w:pPr>
    </w:p>
    <w:p w14:paraId="408A1572" w14:textId="47C46273" w:rsidR="00E004D2" w:rsidRDefault="00E004D2" w:rsidP="00E004D2">
      <w:pPr>
        <w:rPr>
          <w:rFonts w:cs="Arial"/>
          <w:b/>
          <w:color w:val="92D050"/>
          <w:szCs w:val="24"/>
          <w:u w:val="single"/>
        </w:rPr>
      </w:pPr>
    </w:p>
    <w:p w14:paraId="0C6595A7" w14:textId="6B9FF7D4" w:rsidR="00E004D2" w:rsidRDefault="00E004D2" w:rsidP="00E004D2">
      <w:pPr>
        <w:rPr>
          <w:rFonts w:cs="Arial"/>
          <w:b/>
          <w:color w:val="92D050"/>
          <w:szCs w:val="24"/>
          <w:u w:val="single"/>
        </w:rPr>
      </w:pPr>
    </w:p>
    <w:p w14:paraId="302AD5FA" w14:textId="5AE5ACEE" w:rsidR="00E004D2" w:rsidRDefault="00E004D2" w:rsidP="00E004D2">
      <w:pPr>
        <w:rPr>
          <w:rFonts w:cs="Arial"/>
          <w:b/>
          <w:color w:val="92D050"/>
          <w:szCs w:val="24"/>
          <w:u w:val="single"/>
        </w:rPr>
      </w:pPr>
    </w:p>
    <w:p w14:paraId="765F9509" w14:textId="5E0059D2" w:rsidR="00E004D2" w:rsidRDefault="00E004D2" w:rsidP="00E004D2">
      <w:pPr>
        <w:rPr>
          <w:rFonts w:cs="Arial"/>
          <w:b/>
          <w:color w:val="92D050"/>
          <w:szCs w:val="24"/>
          <w:u w:val="single"/>
        </w:rPr>
      </w:pPr>
    </w:p>
    <w:p w14:paraId="4BE56378" w14:textId="4C05675B" w:rsidR="00E004D2" w:rsidRDefault="00E004D2" w:rsidP="00E004D2">
      <w:pPr>
        <w:rPr>
          <w:rFonts w:cs="Arial"/>
          <w:b/>
          <w:color w:val="92D050"/>
          <w:szCs w:val="24"/>
          <w:u w:val="single"/>
        </w:rPr>
      </w:pPr>
    </w:p>
    <w:p w14:paraId="3A25CD55" w14:textId="77777777" w:rsidR="00E004D2" w:rsidRDefault="00E004D2" w:rsidP="00E004D2">
      <w:pPr>
        <w:rPr>
          <w:rFonts w:cs="Arial"/>
          <w:b/>
          <w:color w:val="92D050"/>
          <w:szCs w:val="24"/>
          <w:u w:val="single"/>
        </w:rPr>
      </w:pPr>
    </w:p>
    <w:p w14:paraId="57430E71" w14:textId="7A146D51" w:rsidR="00E004D2" w:rsidRDefault="00E004D2" w:rsidP="00E004D2">
      <w:pPr>
        <w:rPr>
          <w:rFonts w:cs="Arial"/>
          <w:b/>
          <w:color w:val="92D050"/>
          <w:szCs w:val="24"/>
          <w:u w:val="single"/>
        </w:rPr>
      </w:pPr>
    </w:p>
    <w:p w14:paraId="428DF9B7" w14:textId="432A0144" w:rsidR="00E004D2" w:rsidRDefault="00015345" w:rsidP="00E004D2">
      <w:pPr>
        <w:rPr>
          <w:rFonts w:cs="Arial"/>
          <w:b/>
          <w:color w:val="92D050"/>
          <w:szCs w:val="24"/>
          <w:u w:val="single"/>
        </w:rPr>
      </w:pPr>
      <w:r>
        <w:rPr>
          <w:noProof/>
        </w:rPr>
        <mc:AlternateContent>
          <mc:Choice Requires="wps">
            <w:drawing>
              <wp:anchor distT="0" distB="0" distL="114300" distR="114300" simplePos="0" relativeHeight="251666432" behindDoc="0" locked="0" layoutInCell="1" allowOverlap="1" wp14:anchorId="683C1D7B" wp14:editId="2FCF6C89">
                <wp:simplePos x="0" y="0"/>
                <wp:positionH relativeFrom="margin">
                  <wp:posOffset>-247650</wp:posOffset>
                </wp:positionH>
                <wp:positionV relativeFrom="paragraph">
                  <wp:posOffset>-514349</wp:posOffset>
                </wp:positionV>
                <wp:extent cx="6305550" cy="182880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6305550" cy="1828800"/>
                        </a:xfrm>
                        <a:prstGeom prst="rect">
                          <a:avLst/>
                        </a:prstGeom>
                        <a:solidFill>
                          <a:srgbClr val="FFC000">
                            <a:alpha val="39000"/>
                          </a:srgbClr>
                        </a:solidFill>
                        <a:ln w="3810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753FFC78" w14:textId="77777777" w:rsidR="00AF5A4A" w:rsidRDefault="00AF5A4A" w:rsidP="00AF5A4A">
                            <w:pPr>
                              <w:rPr>
                                <w:rFonts w:cs="Arial"/>
                                <w:b/>
                                <w:sz w:val="22"/>
                              </w:rPr>
                            </w:pPr>
                            <w:r>
                              <w:rPr>
                                <w:rFonts w:cs="Arial"/>
                                <w:b/>
                                <w:sz w:val="22"/>
                              </w:rPr>
                              <w:t>Inflation</w:t>
                            </w:r>
                          </w:p>
                          <w:p w14:paraId="32C587F2" w14:textId="77777777" w:rsidR="00AF5A4A" w:rsidRDefault="00AF5A4A" w:rsidP="00AF5A4A">
                            <w:pPr>
                              <w:rPr>
                                <w:rFonts w:eastAsia="Arial" w:cs="Arial"/>
                                <w:bCs/>
                                <w:color w:val="1D1B11"/>
                                <w:sz w:val="22"/>
                                <w:szCs w:val="22"/>
                              </w:rPr>
                            </w:pPr>
                            <w:r>
                              <w:rPr>
                                <w:rFonts w:cs="Arial"/>
                                <w:sz w:val="22"/>
                              </w:rPr>
                              <w:t xml:space="preserve">The council's expenditure is subject to annual inflation. </w:t>
                            </w:r>
                            <w:r w:rsidRPr="008B1023">
                              <w:rPr>
                                <w:rFonts w:cs="Arial"/>
                                <w:sz w:val="22"/>
                              </w:rPr>
                              <w:t xml:space="preserve">In </w:t>
                            </w:r>
                            <w:proofErr w:type="gramStart"/>
                            <w:r w:rsidRPr="008B1023">
                              <w:rPr>
                                <w:rFonts w:eastAsia="Arial" w:cs="Arial"/>
                                <w:color w:val="1D1B11"/>
                                <w:sz w:val="22"/>
                                <w:szCs w:val="22"/>
                                <w:lang w:val="en-AU"/>
                              </w:rPr>
                              <w:t>December 2021</w:t>
                            </w:r>
                            <w:proofErr w:type="gramEnd"/>
                            <w:r w:rsidRPr="008B1023">
                              <w:rPr>
                                <w:rFonts w:eastAsia="Arial" w:cs="Arial"/>
                                <w:color w:val="1D1B11"/>
                                <w:sz w:val="22"/>
                                <w:szCs w:val="22"/>
                                <w:lang w:val="en-AU"/>
                              </w:rPr>
                              <w:t xml:space="preserve"> the CPI inflation</w:t>
                            </w:r>
                            <w:r>
                              <w:rPr>
                                <w:rFonts w:eastAsia="Arial" w:cs="Arial"/>
                                <w:bCs/>
                                <w:color w:val="1D1B11"/>
                                <w:sz w:val="22"/>
                                <w:szCs w:val="22"/>
                                <w:lang w:val="en-AU"/>
                              </w:rPr>
                              <w:t xml:space="preserve"> figure rose to 5.1%, with the Bank of England forecasting </w:t>
                            </w:r>
                            <w:r>
                              <w:rPr>
                                <w:rFonts w:eastAsia="Arial" w:cs="Arial"/>
                                <w:bCs/>
                                <w:color w:val="1D1B11"/>
                                <w:sz w:val="22"/>
                                <w:szCs w:val="22"/>
                              </w:rPr>
                              <w:t>for inflation to peak at 6% next April.</w:t>
                            </w:r>
                          </w:p>
                          <w:p w14:paraId="5EFD2E99" w14:textId="77777777" w:rsidR="00AF5A4A" w:rsidRDefault="00AF5A4A" w:rsidP="00AF5A4A">
                            <w:pPr>
                              <w:rPr>
                                <w:rFonts w:eastAsia="Arial" w:cs="Arial"/>
                                <w:bCs/>
                                <w:color w:val="1D1B11"/>
                                <w:sz w:val="22"/>
                                <w:szCs w:val="22"/>
                              </w:rPr>
                            </w:pPr>
                          </w:p>
                          <w:p w14:paraId="31F17BB3" w14:textId="653F123E" w:rsidR="00AF5A4A" w:rsidRDefault="00AF5A4A" w:rsidP="00AF5A4A">
                            <w:pPr>
                              <w:rPr>
                                <w:rFonts w:eastAsia="Arial" w:cs="Arial"/>
                                <w:bCs/>
                                <w:color w:val="1D1B11"/>
                                <w:sz w:val="22"/>
                                <w:szCs w:val="22"/>
                              </w:rPr>
                            </w:pPr>
                            <w:r>
                              <w:rPr>
                                <w:rFonts w:eastAsia="Arial" w:cs="Arial"/>
                                <w:bCs/>
                                <w:color w:val="1D1B11"/>
                                <w:sz w:val="22"/>
                                <w:szCs w:val="22"/>
                              </w:rPr>
                              <w:t xml:space="preserve">The impact upon the </w:t>
                            </w:r>
                            <w:r w:rsidR="004306D0">
                              <w:rPr>
                                <w:rFonts w:eastAsia="Arial" w:cs="Arial"/>
                                <w:bCs/>
                                <w:color w:val="1D1B11"/>
                                <w:sz w:val="22"/>
                                <w:szCs w:val="22"/>
                              </w:rPr>
                              <w:t>c</w:t>
                            </w:r>
                            <w:r>
                              <w:rPr>
                                <w:rFonts w:eastAsia="Arial" w:cs="Arial"/>
                                <w:bCs/>
                                <w:color w:val="1D1B11"/>
                                <w:sz w:val="22"/>
                                <w:szCs w:val="22"/>
                              </w:rPr>
                              <w:t>ouncil will be mitigated where possible through cost control and effective contract management.</w:t>
                            </w:r>
                          </w:p>
                          <w:p w14:paraId="18234CE2" w14:textId="77777777" w:rsidR="00AF5A4A" w:rsidRDefault="00AF5A4A" w:rsidP="00AF5A4A">
                            <w:pPr>
                              <w:rPr>
                                <w:rFonts w:eastAsia="Arial" w:cs="Arial"/>
                                <w:bCs/>
                                <w:color w:val="1D1B11"/>
                                <w:sz w:val="22"/>
                                <w:szCs w:val="22"/>
                              </w:rPr>
                            </w:pPr>
                          </w:p>
                          <w:p w14:paraId="1D493F30" w14:textId="77777777" w:rsidR="00AF5A4A" w:rsidRDefault="00AF5A4A" w:rsidP="00AF5A4A">
                            <w:pPr>
                              <w:rPr>
                                <w:rFonts w:cs="Arial"/>
                                <w:sz w:val="22"/>
                              </w:rPr>
                            </w:pPr>
                            <w:r>
                              <w:rPr>
                                <w:rFonts w:eastAsia="Arial" w:cs="Arial"/>
                                <w:bCs/>
                                <w:color w:val="1D1B11"/>
                                <w:sz w:val="22"/>
                                <w:szCs w:val="22"/>
                              </w:rPr>
                              <w:t xml:space="preserve">The impact of inflation will be assessed continually through the budget monitoring process, and budgets will be reviewed </w:t>
                            </w:r>
                            <w:r w:rsidRPr="00574AEA">
                              <w:rPr>
                                <w:rFonts w:cs="Arial"/>
                                <w:sz w:val="22"/>
                              </w:rPr>
                              <w:t>annually when updating the MTFS</w:t>
                            </w:r>
                            <w:r>
                              <w:rPr>
                                <w:rFonts w:cs="Arial"/>
                                <w:sz w:val="22"/>
                              </w:rPr>
                              <w:t>.</w:t>
                            </w:r>
                          </w:p>
                          <w:p w14:paraId="56EE0ABE" w14:textId="77777777" w:rsidR="0044067F" w:rsidRDefault="0044067F" w:rsidP="00E004D2">
                            <w:pPr>
                              <w:rPr>
                                <w:rFonts w:cs="Arial"/>
                                <w:b/>
                                <w:sz w:val="22"/>
                              </w:rPr>
                            </w:pPr>
                          </w:p>
                          <w:p w14:paraId="56BC59C4" w14:textId="77777777" w:rsidR="0044067F" w:rsidRDefault="0044067F" w:rsidP="00E004D2">
                            <w:pPr>
                              <w:rPr>
                                <w:rFonts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C1D7B" id="Text Box 7" o:spid="_x0000_s1028" type="#_x0000_t202" style="position:absolute;left:0;text-align:left;margin-left:-19.5pt;margin-top:-40.5pt;width:496.5pt;height:2in;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" fillcolor="#ffc000" strokecolor="#ffc000" strokeweight="3pt">
                <v:fill opacity="25443f"/>
                <v:textbox>
                  <w:txbxContent>
                    <w:p w14:paraId="753FFC78" w14:textId="77777777" w:rsidR="00AF5A4A" w:rsidRDefault="00AF5A4A" w:rsidP="00AF5A4A">
                      <w:pPr>
                        <w:rPr>
                          <w:rFonts w:cs="Arial"/>
                          <w:b/>
                          <w:sz w:val="22"/>
                        </w:rPr>
                      </w:pPr>
                      <w:r>
                        <w:rPr>
                          <w:rFonts w:cs="Arial"/>
                          <w:b/>
                          <w:sz w:val="22"/>
                        </w:rPr>
                        <w:t>Inflation</w:t>
                      </w:r>
                    </w:p>
                    <w:p w14:paraId="32C587F2" w14:textId="77777777" w:rsidR="00AF5A4A" w:rsidRDefault="00AF5A4A" w:rsidP="00AF5A4A">
                      <w:pPr>
                        <w:rPr>
                          <w:rFonts w:eastAsia="Arial" w:cs="Arial"/>
                          <w:bCs/>
                          <w:color w:val="1D1B11"/>
                          <w:sz w:val="22"/>
                          <w:szCs w:val="22"/>
                        </w:rPr>
                      </w:pPr>
                      <w:r>
                        <w:rPr>
                          <w:rFonts w:cs="Arial"/>
                          <w:sz w:val="22"/>
                        </w:rPr>
                        <w:t xml:space="preserve">The council's expenditure is subject to annual inflation. </w:t>
                      </w:r>
                      <w:r w:rsidRPr="008B1023">
                        <w:rPr>
                          <w:rFonts w:cs="Arial"/>
                          <w:sz w:val="22"/>
                        </w:rPr>
                        <w:t xml:space="preserve">In </w:t>
                      </w:r>
                      <w:proofErr w:type="gramStart"/>
                      <w:r w:rsidRPr="008B1023">
                        <w:rPr>
                          <w:rFonts w:eastAsia="Arial" w:cs="Arial"/>
                          <w:color w:val="1D1B11"/>
                          <w:sz w:val="22"/>
                          <w:szCs w:val="22"/>
                          <w:lang w:val="en-AU"/>
                        </w:rPr>
                        <w:t>December 2021</w:t>
                      </w:r>
                      <w:proofErr w:type="gramEnd"/>
                      <w:r w:rsidRPr="008B1023">
                        <w:rPr>
                          <w:rFonts w:eastAsia="Arial" w:cs="Arial"/>
                          <w:color w:val="1D1B11"/>
                          <w:sz w:val="22"/>
                          <w:szCs w:val="22"/>
                          <w:lang w:val="en-AU"/>
                        </w:rPr>
                        <w:t xml:space="preserve"> the CPI inflation</w:t>
                      </w:r>
                      <w:r>
                        <w:rPr>
                          <w:rFonts w:eastAsia="Arial" w:cs="Arial"/>
                          <w:bCs/>
                          <w:color w:val="1D1B11"/>
                          <w:sz w:val="22"/>
                          <w:szCs w:val="22"/>
                          <w:lang w:val="en-AU"/>
                        </w:rPr>
                        <w:t xml:space="preserve"> figure rose to 5.1%, with the Bank of England forecasting </w:t>
                      </w:r>
                      <w:r>
                        <w:rPr>
                          <w:rFonts w:eastAsia="Arial" w:cs="Arial"/>
                          <w:bCs/>
                          <w:color w:val="1D1B11"/>
                          <w:sz w:val="22"/>
                          <w:szCs w:val="22"/>
                        </w:rPr>
                        <w:t>for inflation to peak at 6% next April.</w:t>
                      </w:r>
                    </w:p>
                    <w:p w14:paraId="5EFD2E99" w14:textId="77777777" w:rsidR="00AF5A4A" w:rsidRDefault="00AF5A4A" w:rsidP="00AF5A4A">
                      <w:pPr>
                        <w:rPr>
                          <w:rFonts w:eastAsia="Arial" w:cs="Arial"/>
                          <w:bCs/>
                          <w:color w:val="1D1B11"/>
                          <w:sz w:val="22"/>
                          <w:szCs w:val="22"/>
                        </w:rPr>
                      </w:pPr>
                    </w:p>
                    <w:p w14:paraId="31F17BB3" w14:textId="653F123E" w:rsidR="00AF5A4A" w:rsidRDefault="00AF5A4A" w:rsidP="00AF5A4A">
                      <w:pPr>
                        <w:rPr>
                          <w:rFonts w:eastAsia="Arial" w:cs="Arial"/>
                          <w:bCs/>
                          <w:color w:val="1D1B11"/>
                          <w:sz w:val="22"/>
                          <w:szCs w:val="22"/>
                        </w:rPr>
                      </w:pPr>
                      <w:r>
                        <w:rPr>
                          <w:rFonts w:eastAsia="Arial" w:cs="Arial"/>
                          <w:bCs/>
                          <w:color w:val="1D1B11"/>
                          <w:sz w:val="22"/>
                          <w:szCs w:val="22"/>
                        </w:rPr>
                        <w:t xml:space="preserve">The impact upon the </w:t>
                      </w:r>
                      <w:r w:rsidR="004306D0">
                        <w:rPr>
                          <w:rFonts w:eastAsia="Arial" w:cs="Arial"/>
                          <w:bCs/>
                          <w:color w:val="1D1B11"/>
                          <w:sz w:val="22"/>
                          <w:szCs w:val="22"/>
                        </w:rPr>
                        <w:t>c</w:t>
                      </w:r>
                      <w:r>
                        <w:rPr>
                          <w:rFonts w:eastAsia="Arial" w:cs="Arial"/>
                          <w:bCs/>
                          <w:color w:val="1D1B11"/>
                          <w:sz w:val="22"/>
                          <w:szCs w:val="22"/>
                        </w:rPr>
                        <w:t>ouncil will be mitigated where possible through cost control and effective contract management.</w:t>
                      </w:r>
                    </w:p>
                    <w:p w14:paraId="18234CE2" w14:textId="77777777" w:rsidR="00AF5A4A" w:rsidRDefault="00AF5A4A" w:rsidP="00AF5A4A">
                      <w:pPr>
                        <w:rPr>
                          <w:rFonts w:eastAsia="Arial" w:cs="Arial"/>
                          <w:bCs/>
                          <w:color w:val="1D1B11"/>
                          <w:sz w:val="22"/>
                          <w:szCs w:val="22"/>
                        </w:rPr>
                      </w:pPr>
                    </w:p>
                    <w:p w14:paraId="1D493F30" w14:textId="77777777" w:rsidR="00AF5A4A" w:rsidRDefault="00AF5A4A" w:rsidP="00AF5A4A">
                      <w:pPr>
                        <w:rPr>
                          <w:rFonts w:cs="Arial"/>
                          <w:sz w:val="22"/>
                        </w:rPr>
                      </w:pPr>
                      <w:r>
                        <w:rPr>
                          <w:rFonts w:eastAsia="Arial" w:cs="Arial"/>
                          <w:bCs/>
                          <w:color w:val="1D1B11"/>
                          <w:sz w:val="22"/>
                          <w:szCs w:val="22"/>
                        </w:rPr>
                        <w:t xml:space="preserve">The impact of inflation will be assessed continually through the budget monitoring process, and budgets will be reviewed </w:t>
                      </w:r>
                      <w:r w:rsidRPr="00574AEA">
                        <w:rPr>
                          <w:rFonts w:cs="Arial"/>
                          <w:sz w:val="22"/>
                        </w:rPr>
                        <w:t>annually when updating the MTFS</w:t>
                      </w:r>
                      <w:r>
                        <w:rPr>
                          <w:rFonts w:cs="Arial"/>
                          <w:sz w:val="22"/>
                        </w:rPr>
                        <w:t>.</w:t>
                      </w:r>
                    </w:p>
                    <w:p w14:paraId="56EE0ABE" w14:textId="77777777" w:rsidR="0044067F" w:rsidRDefault="0044067F" w:rsidP="00E004D2">
                      <w:pPr>
                        <w:rPr>
                          <w:rFonts w:cs="Arial"/>
                          <w:b/>
                          <w:sz w:val="22"/>
                        </w:rPr>
                      </w:pPr>
                    </w:p>
                    <w:p w14:paraId="56BC59C4" w14:textId="77777777" w:rsidR="0044067F" w:rsidRDefault="0044067F" w:rsidP="00E004D2">
                      <w:pPr>
                        <w:rPr>
                          <w:rFonts w:cs="Arial"/>
                          <w:b/>
                        </w:rPr>
                      </w:pPr>
                    </w:p>
                  </w:txbxContent>
                </v:textbox>
                <w10:wrap anchorx="margin"/>
              </v:shape>
            </w:pict>
          </mc:Fallback>
        </mc:AlternateContent>
      </w:r>
    </w:p>
    <w:p w14:paraId="5BB1B433" w14:textId="77777777" w:rsidR="00E004D2" w:rsidRDefault="00E004D2" w:rsidP="00E004D2">
      <w:pPr>
        <w:rPr>
          <w:rFonts w:cs="Arial"/>
          <w:b/>
          <w:color w:val="92D050"/>
          <w:szCs w:val="24"/>
          <w:u w:val="single"/>
        </w:rPr>
      </w:pPr>
    </w:p>
    <w:p w14:paraId="4B5AF6BF" w14:textId="77777777" w:rsidR="00E004D2" w:rsidRDefault="00E004D2" w:rsidP="00E004D2">
      <w:pPr>
        <w:rPr>
          <w:rFonts w:cs="Arial"/>
          <w:b/>
          <w:color w:val="92D050"/>
          <w:szCs w:val="24"/>
          <w:u w:val="single"/>
        </w:rPr>
      </w:pPr>
    </w:p>
    <w:p w14:paraId="7BB8DEA4" w14:textId="6A29F2ED" w:rsidR="00E004D2" w:rsidRDefault="00E004D2" w:rsidP="00E004D2">
      <w:pPr>
        <w:rPr>
          <w:rFonts w:cs="Arial"/>
          <w:b/>
          <w:color w:val="92D050"/>
          <w:szCs w:val="24"/>
          <w:u w:val="single"/>
        </w:rPr>
      </w:pPr>
    </w:p>
    <w:p w14:paraId="7E4230EF" w14:textId="79B4C444" w:rsidR="00E004D2" w:rsidRDefault="00E004D2" w:rsidP="00E004D2">
      <w:pPr>
        <w:rPr>
          <w:rFonts w:cs="Arial"/>
          <w:b/>
          <w:color w:val="92D050"/>
          <w:szCs w:val="24"/>
          <w:u w:val="single"/>
        </w:rPr>
      </w:pPr>
    </w:p>
    <w:p w14:paraId="4C5C4EAA" w14:textId="39419CEB" w:rsidR="00E004D2" w:rsidRDefault="00E004D2" w:rsidP="00E004D2">
      <w:pPr>
        <w:rPr>
          <w:rFonts w:cs="Arial"/>
          <w:b/>
          <w:color w:val="92D050"/>
          <w:szCs w:val="24"/>
          <w:u w:val="single"/>
        </w:rPr>
      </w:pPr>
    </w:p>
    <w:p w14:paraId="0C42A3C2" w14:textId="598B79F9" w:rsidR="00E004D2" w:rsidRDefault="00E004D2" w:rsidP="00E004D2">
      <w:pPr>
        <w:rPr>
          <w:rFonts w:cs="Arial"/>
          <w:b/>
          <w:color w:val="92D050"/>
          <w:szCs w:val="24"/>
          <w:u w:val="single"/>
        </w:rPr>
      </w:pPr>
    </w:p>
    <w:p w14:paraId="7390EE57" w14:textId="78D77378" w:rsidR="00E004D2" w:rsidRDefault="00E004D2" w:rsidP="00E004D2">
      <w:pPr>
        <w:rPr>
          <w:rFonts w:cs="Arial"/>
          <w:b/>
          <w:color w:val="92D050"/>
          <w:szCs w:val="24"/>
          <w:u w:val="single"/>
        </w:rPr>
      </w:pPr>
    </w:p>
    <w:p w14:paraId="4FD4E295" w14:textId="77777777" w:rsidR="00E004D2" w:rsidRDefault="00E004D2" w:rsidP="00E004D2">
      <w:pPr>
        <w:jc w:val="right"/>
        <w:rPr>
          <w:rFonts w:cs="Arial"/>
          <w:szCs w:val="24"/>
        </w:rPr>
      </w:pPr>
    </w:p>
    <w:p w14:paraId="7641A271" w14:textId="61000272" w:rsidR="00E004D2" w:rsidRDefault="00E004D2" w:rsidP="00E004D2">
      <w:pPr>
        <w:pStyle w:val="Heading2"/>
        <w:rPr>
          <w:rFonts w:ascii="Arial" w:hAnsi="Arial" w:cs="Arial"/>
          <w:color w:val="auto"/>
          <w:sz w:val="24"/>
          <w:szCs w:val="24"/>
        </w:rPr>
      </w:pPr>
      <w:bookmarkStart w:id="2" w:name="_Toc505778388"/>
      <w:r>
        <w:rPr>
          <w:rFonts w:ascii="Arial" w:hAnsi="Arial" w:cs="Arial"/>
          <w:color w:val="auto"/>
          <w:sz w:val="24"/>
          <w:szCs w:val="24"/>
        </w:rPr>
        <w:t>RISKS TO CAPITAL BUDGET</w:t>
      </w:r>
      <w:bookmarkEnd w:id="2"/>
    </w:p>
    <w:p w14:paraId="4F01CF79" w14:textId="586FAB14" w:rsidR="00E004D2" w:rsidRDefault="00E004D2" w:rsidP="00E004D2">
      <w:pPr>
        <w:rPr>
          <w:rFonts w:cs="Arial"/>
          <w:szCs w:val="24"/>
        </w:rPr>
      </w:pPr>
    </w:p>
    <w:p w14:paraId="138129B4" w14:textId="35AD7AB7" w:rsidR="00E004D2" w:rsidRDefault="00E004D2" w:rsidP="00E004D2">
      <w:pPr>
        <w:rPr>
          <w:rFonts w:cs="Arial"/>
          <w:szCs w:val="24"/>
        </w:rPr>
      </w:pPr>
      <w:r>
        <w:rPr>
          <w:rFonts w:cs="Arial"/>
          <w:b/>
          <w:color w:val="FFC000"/>
          <w:szCs w:val="24"/>
          <w:u w:val="single"/>
        </w:rPr>
        <w:t>MEDIUM RISKS</w:t>
      </w:r>
    </w:p>
    <w:p w14:paraId="5D29A293" w14:textId="5666CCE0" w:rsidR="00E004D2" w:rsidRDefault="005A1730" w:rsidP="00E004D2">
      <w:pPr>
        <w:rPr>
          <w:rFonts w:cs="Arial"/>
          <w:szCs w:val="24"/>
        </w:rPr>
      </w:pPr>
      <w:r>
        <w:rPr>
          <w:noProof/>
        </w:rPr>
        <mc:AlternateContent>
          <mc:Choice Requires="wps">
            <w:drawing>
              <wp:anchor distT="0" distB="0" distL="114300" distR="114300" simplePos="0" relativeHeight="251664384" behindDoc="0" locked="0" layoutInCell="1" allowOverlap="1" wp14:anchorId="76BB487C" wp14:editId="1FFEBEC4">
                <wp:simplePos x="0" y="0"/>
                <wp:positionH relativeFrom="margin">
                  <wp:posOffset>-238126</wp:posOffset>
                </wp:positionH>
                <wp:positionV relativeFrom="paragraph">
                  <wp:posOffset>201295</wp:posOffset>
                </wp:positionV>
                <wp:extent cx="6296025" cy="2133600"/>
                <wp:effectExtent l="19050" t="19050" r="28575" b="19050"/>
                <wp:wrapNone/>
                <wp:docPr id="3" name="Text Box 3"/>
                <wp:cNvGraphicFramePr/>
                <a:graphic xmlns:a="http://schemas.openxmlformats.org/drawingml/2006/main">
                  <a:graphicData uri="http://schemas.microsoft.com/office/word/2010/wordprocessingShape">
                    <wps:wsp>
                      <wps:cNvSpPr txBox="1"/>
                      <wps:spPr>
                        <a:xfrm>
                          <a:off x="0" y="0"/>
                          <a:ext cx="6296025" cy="2133600"/>
                        </a:xfrm>
                        <a:prstGeom prst="rect">
                          <a:avLst/>
                        </a:prstGeom>
                        <a:solidFill>
                          <a:srgbClr val="FFC000">
                            <a:alpha val="39000"/>
                          </a:srgbClr>
                        </a:solidFill>
                        <a:ln w="3810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22056409" w14:textId="77777777" w:rsidR="0044067F" w:rsidRDefault="0044067F" w:rsidP="00E004D2">
                            <w:pPr>
                              <w:rPr>
                                <w:rFonts w:cs="Arial"/>
                                <w:b/>
                                <w:sz w:val="22"/>
                                <w:szCs w:val="22"/>
                              </w:rPr>
                            </w:pPr>
                            <w:r>
                              <w:rPr>
                                <w:rFonts w:cs="Arial"/>
                                <w:b/>
                                <w:sz w:val="22"/>
                                <w:szCs w:val="22"/>
                              </w:rPr>
                              <w:t>Overspends on Capital Projects</w:t>
                            </w:r>
                          </w:p>
                          <w:p w14:paraId="43DB6BD6" w14:textId="6BBCE58D" w:rsidR="0044067F" w:rsidRDefault="0044067F" w:rsidP="00E004D2">
                            <w:pPr>
                              <w:rPr>
                                <w:rFonts w:cs="Arial"/>
                                <w:sz w:val="22"/>
                                <w:szCs w:val="22"/>
                              </w:rPr>
                            </w:pPr>
                            <w:r>
                              <w:rPr>
                                <w:rFonts w:cs="Arial"/>
                                <w:sz w:val="22"/>
                                <w:szCs w:val="22"/>
                              </w:rPr>
                              <w:t>All capital projects are monitored on a quarterly basis, with the major capital projects monitored on an ongoing basis by council officers and commissioned external project managers. Any potential overspends are highlighted by the relevant project group or officer and reported to the Director of Finance.</w:t>
                            </w:r>
                          </w:p>
                          <w:p w14:paraId="53C4BDEB" w14:textId="77777777" w:rsidR="0044067F" w:rsidRDefault="0044067F" w:rsidP="00E004D2">
                            <w:pPr>
                              <w:rPr>
                                <w:rFonts w:cs="Arial"/>
                                <w:sz w:val="22"/>
                                <w:szCs w:val="22"/>
                              </w:rPr>
                            </w:pPr>
                          </w:p>
                          <w:p w14:paraId="3DB6BDA8" w14:textId="01C6A703" w:rsidR="0044067F" w:rsidRDefault="0044067F" w:rsidP="00E004D2">
                            <w:pPr>
                              <w:rPr>
                                <w:rFonts w:cs="Arial"/>
                                <w:sz w:val="22"/>
                                <w:szCs w:val="22"/>
                              </w:rPr>
                            </w:pPr>
                            <w:r>
                              <w:rPr>
                                <w:rFonts w:cs="Arial"/>
                                <w:sz w:val="22"/>
                                <w:szCs w:val="22"/>
                              </w:rPr>
                              <w:t>Actions plans are agreed to manage potential overspends and managed by the project officer. If necessary, financing is identified within the capital programme to meet any additional required resources. Changes to the capital programme are reported quarterly to Executive Cabinet. Changes to a capital project between these periods are taken on a separate report to Executive Cabinet or Full Council, in line with the council’s financial regulations.</w:t>
                            </w:r>
                          </w:p>
                          <w:p w14:paraId="3D01BE16" w14:textId="06E61AFA" w:rsidR="005C75A8" w:rsidRDefault="005C75A8" w:rsidP="00E004D2">
                            <w:pPr>
                              <w:rPr>
                                <w:rFonts w:cs="Arial"/>
                                <w:sz w:val="22"/>
                                <w:szCs w:val="22"/>
                              </w:rPr>
                            </w:pPr>
                          </w:p>
                          <w:p w14:paraId="44A5B027" w14:textId="23639F03" w:rsidR="005C75A8" w:rsidRDefault="005C75A8" w:rsidP="00E004D2">
                            <w:pPr>
                              <w:rPr>
                                <w:rFonts w:cs="Arial"/>
                                <w:sz w:val="22"/>
                                <w:szCs w:val="22"/>
                              </w:rPr>
                            </w:pPr>
                          </w:p>
                          <w:p w14:paraId="3FD7FD92" w14:textId="5C27AED1" w:rsidR="005C75A8" w:rsidRDefault="005C75A8" w:rsidP="00E004D2">
                            <w:pPr>
                              <w:rPr>
                                <w:rFonts w:cs="Arial"/>
                                <w:sz w:val="22"/>
                                <w:szCs w:val="22"/>
                              </w:rPr>
                            </w:pPr>
                          </w:p>
                          <w:p w14:paraId="796A6D86" w14:textId="77777777" w:rsidR="005C75A8" w:rsidRDefault="005C75A8" w:rsidP="00E004D2">
                            <w:pPr>
                              <w:rPr>
                                <w:rFonts w:cs="Arial"/>
                                <w:sz w:val="22"/>
                                <w:szCs w:val="22"/>
                              </w:rPr>
                            </w:pPr>
                          </w:p>
                          <w:p w14:paraId="2696B558" w14:textId="77777777" w:rsidR="0044067F" w:rsidRDefault="0044067F" w:rsidP="00E004D2">
                            <w:pPr>
                              <w:rPr>
                                <w:rFonts w:cs="Arial"/>
                                <w:sz w:val="22"/>
                                <w:szCs w:val="22"/>
                              </w:rPr>
                            </w:pPr>
                          </w:p>
                          <w:p w14:paraId="7EB7A63D" w14:textId="0D8DDBC4" w:rsidR="0044067F" w:rsidRDefault="0044067F" w:rsidP="00E004D2">
                            <w:pPr>
                              <w:rPr>
                                <w:rFonts w:cs="Arial"/>
                                <w:sz w:val="22"/>
                                <w:szCs w:val="22"/>
                              </w:rPr>
                            </w:pPr>
                          </w:p>
                          <w:p w14:paraId="1634A115" w14:textId="7C1462EA" w:rsidR="007A1280" w:rsidRDefault="007A1280" w:rsidP="00E004D2">
                            <w:pPr>
                              <w:rPr>
                                <w:rFonts w:cs="Arial"/>
                                <w:sz w:val="22"/>
                                <w:szCs w:val="22"/>
                              </w:rPr>
                            </w:pPr>
                          </w:p>
                          <w:p w14:paraId="3523A55E" w14:textId="77777777" w:rsidR="007A1280" w:rsidRDefault="007A1280" w:rsidP="00E004D2">
                            <w:pPr>
                              <w:rPr>
                                <w:rFonts w:cs="Arial"/>
                                <w:sz w:val="22"/>
                                <w:szCs w:val="22"/>
                              </w:rPr>
                            </w:pPr>
                          </w:p>
                          <w:p w14:paraId="667177FB" w14:textId="77777777" w:rsidR="0044067F" w:rsidRDefault="0044067F" w:rsidP="00E004D2">
                            <w:pPr>
                              <w:rPr>
                                <w:rFonts w:cs="Arial"/>
                              </w:rPr>
                            </w:pPr>
                          </w:p>
                          <w:p w14:paraId="2A14C1E9" w14:textId="77777777" w:rsidR="0044067F" w:rsidRDefault="0044067F" w:rsidP="00E004D2">
                            <w:pPr>
                              <w:rPr>
                                <w:rFonts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B487C" id="Text Box 3" o:spid="_x0000_s1029" type="#_x0000_t202" style="position:absolute;left:0;text-align:left;margin-left:-18.75pt;margin-top:15.85pt;width:495.75pt;height:16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" fillcolor="#ffc000" strokecolor="#ffc000" strokeweight="3pt">
                <v:fill opacity="25443f"/>
                <v:textbox>
                  <w:txbxContent>
                    <w:p w14:paraId="22056409" w14:textId="77777777" w:rsidR="0044067F" w:rsidRDefault="0044067F" w:rsidP="00E004D2">
                      <w:pPr>
                        <w:rPr>
                          <w:rFonts w:cs="Arial"/>
                          <w:b/>
                          <w:sz w:val="22"/>
                          <w:szCs w:val="22"/>
                        </w:rPr>
                      </w:pPr>
                      <w:r>
                        <w:rPr>
                          <w:rFonts w:cs="Arial"/>
                          <w:b/>
                          <w:sz w:val="22"/>
                          <w:szCs w:val="22"/>
                        </w:rPr>
                        <w:t>Overspends on Capital Projects</w:t>
                      </w:r>
                    </w:p>
                    <w:p w14:paraId="43DB6BD6" w14:textId="6BBCE58D" w:rsidR="0044067F" w:rsidRDefault="0044067F" w:rsidP="00E004D2">
                      <w:pPr>
                        <w:rPr>
                          <w:rFonts w:cs="Arial"/>
                          <w:sz w:val="22"/>
                          <w:szCs w:val="22"/>
                        </w:rPr>
                      </w:pPr>
                      <w:r>
                        <w:rPr>
                          <w:rFonts w:cs="Arial"/>
                          <w:sz w:val="22"/>
                          <w:szCs w:val="22"/>
                        </w:rPr>
                        <w:t>All capital projects are monitored on a quarterly basis, with the major capital projects monitored on an ongoing basis by council officers and commissioned external project managers. Any potential overspends are highlighted by the relevant project group or officer and reported to the Director of Finance.</w:t>
                      </w:r>
                    </w:p>
                    <w:p w14:paraId="53C4BDEB" w14:textId="77777777" w:rsidR="0044067F" w:rsidRDefault="0044067F" w:rsidP="00E004D2">
                      <w:pPr>
                        <w:rPr>
                          <w:rFonts w:cs="Arial"/>
                          <w:sz w:val="22"/>
                          <w:szCs w:val="22"/>
                        </w:rPr>
                      </w:pPr>
                    </w:p>
                    <w:p w14:paraId="3DB6BDA8" w14:textId="01C6A703" w:rsidR="0044067F" w:rsidRDefault="0044067F" w:rsidP="00E004D2">
                      <w:pPr>
                        <w:rPr>
                          <w:rFonts w:cs="Arial"/>
                          <w:sz w:val="22"/>
                          <w:szCs w:val="22"/>
                        </w:rPr>
                      </w:pPr>
                      <w:r>
                        <w:rPr>
                          <w:rFonts w:cs="Arial"/>
                          <w:sz w:val="22"/>
                          <w:szCs w:val="22"/>
                        </w:rPr>
                        <w:t>Actions plans are agreed to manage potential overspends and managed by the project officer. If necessary, financing is identified within the capital programme to meet any additional required resources. Changes to the capital programme are reported quarterly to Executive Cabinet. Changes to a capital project between these periods are taken on a separate report to Executive Cabinet or Full Council, in line with the council’s financial regulations.</w:t>
                      </w:r>
                    </w:p>
                    <w:p w14:paraId="3D01BE16" w14:textId="06E61AFA" w:rsidR="005C75A8" w:rsidRDefault="005C75A8" w:rsidP="00E004D2">
                      <w:pPr>
                        <w:rPr>
                          <w:rFonts w:cs="Arial"/>
                          <w:sz w:val="22"/>
                          <w:szCs w:val="22"/>
                        </w:rPr>
                      </w:pPr>
                    </w:p>
                    <w:p w14:paraId="44A5B027" w14:textId="23639F03" w:rsidR="005C75A8" w:rsidRDefault="005C75A8" w:rsidP="00E004D2">
                      <w:pPr>
                        <w:rPr>
                          <w:rFonts w:cs="Arial"/>
                          <w:sz w:val="22"/>
                          <w:szCs w:val="22"/>
                        </w:rPr>
                      </w:pPr>
                    </w:p>
                    <w:p w14:paraId="3FD7FD92" w14:textId="5C27AED1" w:rsidR="005C75A8" w:rsidRDefault="005C75A8" w:rsidP="00E004D2">
                      <w:pPr>
                        <w:rPr>
                          <w:rFonts w:cs="Arial"/>
                          <w:sz w:val="22"/>
                          <w:szCs w:val="22"/>
                        </w:rPr>
                      </w:pPr>
                    </w:p>
                    <w:p w14:paraId="796A6D86" w14:textId="77777777" w:rsidR="005C75A8" w:rsidRDefault="005C75A8" w:rsidP="00E004D2">
                      <w:pPr>
                        <w:rPr>
                          <w:rFonts w:cs="Arial"/>
                          <w:sz w:val="22"/>
                          <w:szCs w:val="22"/>
                        </w:rPr>
                      </w:pPr>
                    </w:p>
                    <w:p w14:paraId="2696B558" w14:textId="77777777" w:rsidR="0044067F" w:rsidRDefault="0044067F" w:rsidP="00E004D2">
                      <w:pPr>
                        <w:rPr>
                          <w:rFonts w:cs="Arial"/>
                          <w:sz w:val="22"/>
                          <w:szCs w:val="22"/>
                        </w:rPr>
                      </w:pPr>
                    </w:p>
                    <w:p w14:paraId="7EB7A63D" w14:textId="0D8DDBC4" w:rsidR="0044067F" w:rsidRDefault="0044067F" w:rsidP="00E004D2">
                      <w:pPr>
                        <w:rPr>
                          <w:rFonts w:cs="Arial"/>
                          <w:sz w:val="22"/>
                          <w:szCs w:val="22"/>
                        </w:rPr>
                      </w:pPr>
                    </w:p>
                    <w:p w14:paraId="1634A115" w14:textId="7C1462EA" w:rsidR="007A1280" w:rsidRDefault="007A1280" w:rsidP="00E004D2">
                      <w:pPr>
                        <w:rPr>
                          <w:rFonts w:cs="Arial"/>
                          <w:sz w:val="22"/>
                          <w:szCs w:val="22"/>
                        </w:rPr>
                      </w:pPr>
                    </w:p>
                    <w:p w14:paraId="3523A55E" w14:textId="77777777" w:rsidR="007A1280" w:rsidRDefault="007A1280" w:rsidP="00E004D2">
                      <w:pPr>
                        <w:rPr>
                          <w:rFonts w:cs="Arial"/>
                          <w:sz w:val="22"/>
                          <w:szCs w:val="22"/>
                        </w:rPr>
                      </w:pPr>
                    </w:p>
                    <w:p w14:paraId="667177FB" w14:textId="77777777" w:rsidR="0044067F" w:rsidRDefault="0044067F" w:rsidP="00E004D2">
                      <w:pPr>
                        <w:rPr>
                          <w:rFonts w:cs="Arial"/>
                        </w:rPr>
                      </w:pPr>
                    </w:p>
                    <w:p w14:paraId="2A14C1E9" w14:textId="77777777" w:rsidR="0044067F" w:rsidRDefault="0044067F" w:rsidP="00E004D2">
                      <w:pPr>
                        <w:rPr>
                          <w:rFonts w:cs="Arial"/>
                          <w:b/>
                        </w:rPr>
                      </w:pPr>
                    </w:p>
                  </w:txbxContent>
                </v:textbox>
                <w10:wrap anchorx="margin"/>
              </v:shape>
            </w:pict>
          </mc:Fallback>
        </mc:AlternateContent>
      </w:r>
    </w:p>
    <w:p w14:paraId="214EC67C" w14:textId="2C3DB573" w:rsidR="00E004D2" w:rsidRDefault="00E004D2" w:rsidP="00E004D2">
      <w:pPr>
        <w:rPr>
          <w:rFonts w:cs="Arial"/>
          <w:szCs w:val="24"/>
        </w:rPr>
      </w:pPr>
    </w:p>
    <w:p w14:paraId="662137CB" w14:textId="77777777" w:rsidR="00E004D2" w:rsidRDefault="00E004D2" w:rsidP="00E004D2">
      <w:pPr>
        <w:rPr>
          <w:rFonts w:cs="Arial"/>
          <w:szCs w:val="24"/>
        </w:rPr>
      </w:pPr>
    </w:p>
    <w:p w14:paraId="23666228" w14:textId="77777777" w:rsidR="00E004D2" w:rsidRDefault="00E004D2" w:rsidP="00E004D2">
      <w:pPr>
        <w:rPr>
          <w:rFonts w:cs="Arial"/>
          <w:szCs w:val="24"/>
        </w:rPr>
      </w:pPr>
    </w:p>
    <w:p w14:paraId="29D0523A" w14:textId="77777777" w:rsidR="00E004D2" w:rsidRDefault="00E004D2" w:rsidP="00E004D2">
      <w:pPr>
        <w:rPr>
          <w:rFonts w:cs="Arial"/>
          <w:szCs w:val="24"/>
        </w:rPr>
      </w:pPr>
    </w:p>
    <w:p w14:paraId="37EF4FAA" w14:textId="77777777" w:rsidR="00E004D2" w:rsidRDefault="00E004D2" w:rsidP="00E004D2">
      <w:pPr>
        <w:rPr>
          <w:rFonts w:cs="Arial"/>
          <w:szCs w:val="24"/>
        </w:rPr>
      </w:pPr>
    </w:p>
    <w:p w14:paraId="72D0095E" w14:textId="77777777" w:rsidR="00E004D2" w:rsidRDefault="00E004D2" w:rsidP="00E004D2">
      <w:pPr>
        <w:rPr>
          <w:rFonts w:cs="Arial"/>
          <w:szCs w:val="24"/>
        </w:rPr>
      </w:pPr>
    </w:p>
    <w:p w14:paraId="32044878" w14:textId="77777777" w:rsidR="00E004D2" w:rsidRDefault="00E004D2" w:rsidP="00E004D2">
      <w:pPr>
        <w:rPr>
          <w:rFonts w:cs="Arial"/>
          <w:szCs w:val="24"/>
        </w:rPr>
      </w:pPr>
    </w:p>
    <w:p w14:paraId="695CFE08" w14:textId="77777777" w:rsidR="00E004D2" w:rsidRDefault="00E004D2" w:rsidP="00E004D2">
      <w:pPr>
        <w:rPr>
          <w:rFonts w:cs="Arial"/>
          <w:szCs w:val="24"/>
        </w:rPr>
      </w:pPr>
    </w:p>
    <w:p w14:paraId="2F8A5BF6" w14:textId="77777777" w:rsidR="00E004D2" w:rsidRDefault="00E004D2" w:rsidP="00E004D2">
      <w:pPr>
        <w:rPr>
          <w:rFonts w:cs="Arial"/>
          <w:szCs w:val="24"/>
        </w:rPr>
      </w:pPr>
    </w:p>
    <w:p w14:paraId="69F6CB26" w14:textId="77777777" w:rsidR="00E004D2" w:rsidRDefault="00E004D2" w:rsidP="00E004D2">
      <w:pPr>
        <w:rPr>
          <w:rFonts w:cs="Arial"/>
          <w:szCs w:val="24"/>
        </w:rPr>
      </w:pPr>
    </w:p>
    <w:p w14:paraId="3BDC6864" w14:textId="77777777" w:rsidR="00E004D2" w:rsidRDefault="00E004D2" w:rsidP="00E004D2">
      <w:pPr>
        <w:rPr>
          <w:rFonts w:cs="Arial"/>
          <w:szCs w:val="24"/>
        </w:rPr>
      </w:pPr>
    </w:p>
    <w:p w14:paraId="119D9A46" w14:textId="77777777" w:rsidR="00E004D2" w:rsidRDefault="00E004D2" w:rsidP="00E004D2">
      <w:pPr>
        <w:rPr>
          <w:rFonts w:cs="Arial"/>
          <w:szCs w:val="24"/>
        </w:rPr>
      </w:pPr>
    </w:p>
    <w:p w14:paraId="66343004" w14:textId="77777777" w:rsidR="00E004D2" w:rsidRDefault="00E004D2" w:rsidP="00E004D2">
      <w:pPr>
        <w:rPr>
          <w:rFonts w:cs="Arial"/>
          <w:szCs w:val="24"/>
        </w:rPr>
      </w:pPr>
    </w:p>
    <w:p w14:paraId="7B22F951" w14:textId="77777777" w:rsidR="00E004D2" w:rsidRDefault="00E004D2" w:rsidP="00E004D2">
      <w:pPr>
        <w:rPr>
          <w:rFonts w:cs="Arial"/>
          <w:szCs w:val="24"/>
        </w:rPr>
      </w:pPr>
    </w:p>
    <w:p w14:paraId="1B40ABC4" w14:textId="77777777" w:rsidR="00E004D2" w:rsidRDefault="00E004D2" w:rsidP="00E004D2">
      <w:pPr>
        <w:rPr>
          <w:rFonts w:cs="Arial"/>
          <w:b/>
          <w:color w:val="92D050"/>
          <w:szCs w:val="24"/>
          <w:u w:val="single"/>
        </w:rPr>
      </w:pPr>
      <w:r>
        <w:rPr>
          <w:rFonts w:cs="Arial"/>
          <w:b/>
          <w:color w:val="92D050"/>
          <w:szCs w:val="24"/>
          <w:u w:val="single"/>
        </w:rPr>
        <w:t>LOW RISK</w:t>
      </w:r>
    </w:p>
    <w:p w14:paraId="1B0A2F5C" w14:textId="42F2026C" w:rsidR="00E004D2" w:rsidRDefault="00FC0976" w:rsidP="00E004D2">
      <w:pPr>
        <w:rPr>
          <w:rFonts w:cs="Arial"/>
          <w:szCs w:val="24"/>
        </w:rPr>
      </w:pPr>
      <w:r>
        <w:rPr>
          <w:noProof/>
        </w:rPr>
        <mc:AlternateContent>
          <mc:Choice Requires="wps">
            <w:drawing>
              <wp:anchor distT="0" distB="0" distL="114300" distR="114300" simplePos="0" relativeHeight="251665408" behindDoc="0" locked="0" layoutInCell="1" allowOverlap="1" wp14:anchorId="09D8BBE7" wp14:editId="32A4AE17">
                <wp:simplePos x="0" y="0"/>
                <wp:positionH relativeFrom="column">
                  <wp:posOffset>-219075</wp:posOffset>
                </wp:positionH>
                <wp:positionV relativeFrom="paragraph">
                  <wp:posOffset>178435</wp:posOffset>
                </wp:positionV>
                <wp:extent cx="6324600" cy="177165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6324600" cy="1771650"/>
                        </a:xfrm>
                        <a:prstGeom prst="rect">
                          <a:avLst/>
                        </a:prstGeom>
                        <a:solidFill>
                          <a:srgbClr val="92D050">
                            <a:alpha val="39000"/>
                          </a:srgbClr>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795FC66E" w14:textId="77777777" w:rsidR="0044067F" w:rsidRDefault="0044067F" w:rsidP="00E004D2">
                            <w:pPr>
                              <w:rPr>
                                <w:rFonts w:cs="Arial"/>
                                <w:b/>
                                <w:sz w:val="22"/>
                                <w:szCs w:val="22"/>
                              </w:rPr>
                            </w:pPr>
                            <w:r>
                              <w:rPr>
                                <w:rFonts w:cs="Arial"/>
                                <w:b/>
                                <w:sz w:val="22"/>
                                <w:szCs w:val="22"/>
                              </w:rPr>
                              <w:t>Insufficient Financing to Delivery Capital Programme</w:t>
                            </w:r>
                          </w:p>
                          <w:p w14:paraId="6A4C7267" w14:textId="77777777" w:rsidR="0044067F" w:rsidRDefault="0044067F" w:rsidP="00E004D2">
                            <w:pPr>
                              <w:rPr>
                                <w:rFonts w:cs="Arial"/>
                                <w:sz w:val="22"/>
                                <w:szCs w:val="22"/>
                              </w:rPr>
                            </w:pPr>
                            <w:r>
                              <w:rPr>
                                <w:rFonts w:cs="Arial"/>
                                <w:sz w:val="22"/>
                                <w:szCs w:val="22"/>
                              </w:rPr>
                              <w:t xml:space="preserve">The council continues to have a significant gap between its capital funding requirement and current borrowing levels.  As such borrowing is available to the council if funding sources previously allocated to projects no longer become available. </w:t>
                            </w:r>
                          </w:p>
                          <w:p w14:paraId="11CDD0C8" w14:textId="77777777" w:rsidR="0044067F" w:rsidRDefault="0044067F" w:rsidP="00E004D2">
                            <w:pPr>
                              <w:rPr>
                                <w:rFonts w:cs="Arial"/>
                                <w:sz w:val="22"/>
                                <w:szCs w:val="22"/>
                              </w:rPr>
                            </w:pPr>
                          </w:p>
                          <w:p w14:paraId="1FCF49B2" w14:textId="77777777" w:rsidR="0044067F" w:rsidRDefault="0044067F" w:rsidP="00E004D2">
                            <w:pPr>
                              <w:rPr>
                                <w:rFonts w:cs="Arial"/>
                                <w:b/>
                                <w:sz w:val="22"/>
                                <w:szCs w:val="22"/>
                              </w:rPr>
                            </w:pPr>
                            <w:r>
                              <w:rPr>
                                <w:rFonts w:cs="Arial"/>
                                <w:b/>
                                <w:sz w:val="22"/>
                                <w:szCs w:val="22"/>
                              </w:rPr>
                              <w:t>Insolvency of Major Contractor</w:t>
                            </w:r>
                          </w:p>
                          <w:p w14:paraId="6E4AFE9D" w14:textId="77777777" w:rsidR="0044067F" w:rsidRDefault="0044067F" w:rsidP="00E004D2">
                            <w:pPr>
                              <w:rPr>
                                <w:rFonts w:cs="Arial"/>
                                <w:sz w:val="22"/>
                              </w:rPr>
                            </w:pPr>
                            <w:r>
                              <w:rPr>
                                <w:rFonts w:cs="Arial"/>
                                <w:sz w:val="22"/>
                              </w:rPr>
                              <w:t>As part of the tender process the financial standing of each contractor has been thoroughly assessed. These checks are regularly and the council’s subscription to a credit check agency provides alerts were the credit status to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8BBE7" id="Text Box 2" o:spid="_x0000_s1030" type="#_x0000_t202" style="position:absolute;left:0;text-align:left;margin-left:-17.25pt;margin-top:14.05pt;width:498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" fillcolor="#92d050" strokecolor="#00b050" strokeweight="3pt">
                <v:fill opacity="25443f"/>
                <v:textbox>
                  <w:txbxContent>
                    <w:p w14:paraId="795FC66E" w14:textId="77777777" w:rsidR="0044067F" w:rsidRDefault="0044067F" w:rsidP="00E004D2">
                      <w:pPr>
                        <w:rPr>
                          <w:rFonts w:cs="Arial"/>
                          <w:b/>
                          <w:sz w:val="22"/>
                          <w:szCs w:val="22"/>
                        </w:rPr>
                      </w:pPr>
                      <w:r>
                        <w:rPr>
                          <w:rFonts w:cs="Arial"/>
                          <w:b/>
                          <w:sz w:val="22"/>
                          <w:szCs w:val="22"/>
                        </w:rPr>
                        <w:t>Insufficient Financing to Delivery Capital Programme</w:t>
                      </w:r>
                    </w:p>
                    <w:p w14:paraId="6A4C7267" w14:textId="77777777" w:rsidR="0044067F" w:rsidRDefault="0044067F" w:rsidP="00E004D2">
                      <w:pPr>
                        <w:rPr>
                          <w:rFonts w:cs="Arial"/>
                          <w:sz w:val="22"/>
                          <w:szCs w:val="22"/>
                        </w:rPr>
                      </w:pPr>
                      <w:r>
                        <w:rPr>
                          <w:rFonts w:cs="Arial"/>
                          <w:sz w:val="22"/>
                          <w:szCs w:val="22"/>
                        </w:rPr>
                        <w:t xml:space="preserve">The council continues to have a significant gap between its capital funding requirement and current borrowing levels.  As such borrowing is available to the council if funding sources previously allocated to projects no longer become available. </w:t>
                      </w:r>
                    </w:p>
                    <w:p w14:paraId="11CDD0C8" w14:textId="77777777" w:rsidR="0044067F" w:rsidRDefault="0044067F" w:rsidP="00E004D2">
                      <w:pPr>
                        <w:rPr>
                          <w:rFonts w:cs="Arial"/>
                          <w:sz w:val="22"/>
                          <w:szCs w:val="22"/>
                        </w:rPr>
                      </w:pPr>
                    </w:p>
                    <w:p w14:paraId="1FCF49B2" w14:textId="77777777" w:rsidR="0044067F" w:rsidRDefault="0044067F" w:rsidP="00E004D2">
                      <w:pPr>
                        <w:rPr>
                          <w:rFonts w:cs="Arial"/>
                          <w:b/>
                          <w:sz w:val="22"/>
                          <w:szCs w:val="22"/>
                        </w:rPr>
                      </w:pPr>
                      <w:r>
                        <w:rPr>
                          <w:rFonts w:cs="Arial"/>
                          <w:b/>
                          <w:sz w:val="22"/>
                          <w:szCs w:val="22"/>
                        </w:rPr>
                        <w:t>Insolvency of Major Contractor</w:t>
                      </w:r>
                    </w:p>
                    <w:p w14:paraId="6E4AFE9D" w14:textId="77777777" w:rsidR="0044067F" w:rsidRDefault="0044067F" w:rsidP="00E004D2">
                      <w:pPr>
                        <w:rPr>
                          <w:rFonts w:cs="Arial"/>
                          <w:sz w:val="22"/>
                        </w:rPr>
                      </w:pPr>
                      <w:r>
                        <w:rPr>
                          <w:rFonts w:cs="Arial"/>
                          <w:sz w:val="22"/>
                        </w:rPr>
                        <w:t>As part of the tender process the financial standing of each contractor has been thoroughly assessed. These checks are regularly and the council’s subscription to a credit check agency provides alerts were the credit status to change.</w:t>
                      </w:r>
                    </w:p>
                  </w:txbxContent>
                </v:textbox>
              </v:shape>
            </w:pict>
          </mc:Fallback>
        </mc:AlternateContent>
      </w:r>
    </w:p>
    <w:p w14:paraId="70C795E4" w14:textId="31A285C1" w:rsidR="00E004D2" w:rsidRDefault="00E004D2" w:rsidP="00E004D2">
      <w:pPr>
        <w:pBdr>
          <w:left w:val="single" w:sz="2" w:space="0" w:color="FFFFFF"/>
          <w:bottom w:val="single" w:sz="2" w:space="2" w:color="FFFFFF"/>
          <w:right w:val="single" w:sz="2" w:space="4" w:color="FFFFFF"/>
        </w:pBdr>
        <w:tabs>
          <w:tab w:val="left" w:pos="567"/>
        </w:tabs>
      </w:pPr>
    </w:p>
    <w:p w14:paraId="3F818880" w14:textId="586AC4AD" w:rsidR="00D97F8C" w:rsidRDefault="00D97F8C">
      <w:pPr>
        <w:spacing w:after="200" w:line="276" w:lineRule="auto"/>
        <w:jc w:val="left"/>
        <w:rPr>
          <w:sz w:val="22"/>
        </w:rPr>
      </w:pPr>
    </w:p>
    <w:p w14:paraId="130804F4" w14:textId="35B2D1E5" w:rsidR="00A04494" w:rsidRDefault="00A04494">
      <w:pPr>
        <w:spacing w:after="200" w:line="276" w:lineRule="auto"/>
        <w:jc w:val="left"/>
        <w:rPr>
          <w:sz w:val="22"/>
        </w:rPr>
      </w:pPr>
    </w:p>
    <w:p w14:paraId="282AFC15" w14:textId="14158CD2" w:rsidR="00A04494" w:rsidRDefault="00A04494">
      <w:pPr>
        <w:spacing w:after="200" w:line="276" w:lineRule="auto"/>
        <w:jc w:val="left"/>
        <w:rPr>
          <w:sz w:val="22"/>
        </w:rPr>
      </w:pPr>
    </w:p>
    <w:p w14:paraId="46CC96F8" w14:textId="77777777" w:rsidR="005A1730" w:rsidRDefault="005A1730" w:rsidP="00A04494">
      <w:pPr>
        <w:pStyle w:val="Heading1"/>
        <w:jc w:val="right"/>
        <w:rPr>
          <w:rFonts w:ascii="Arial" w:hAnsi="Arial" w:cs="Arial"/>
          <w:caps/>
          <w:color w:val="auto"/>
          <w:szCs w:val="24"/>
        </w:rPr>
      </w:pPr>
    </w:p>
    <w:p w14:paraId="018A836C" w14:textId="3B88A200" w:rsidR="00446F10" w:rsidRDefault="00446F10" w:rsidP="008305CE">
      <w:pPr>
        <w:pStyle w:val="Heading1"/>
        <w:rPr>
          <w:rFonts w:ascii="Arial" w:hAnsi="Arial" w:cs="Arial"/>
          <w:caps/>
          <w:color w:val="auto"/>
          <w:szCs w:val="24"/>
        </w:rPr>
      </w:pPr>
    </w:p>
    <w:p w14:paraId="03BBA18F" w14:textId="5031B055" w:rsidR="008305CE" w:rsidRDefault="008305CE" w:rsidP="008305CE"/>
    <w:p w14:paraId="1D468E5D" w14:textId="36D04553" w:rsidR="008305CE" w:rsidRDefault="008305CE" w:rsidP="008305CE"/>
    <w:p w14:paraId="6F005C30" w14:textId="77777777" w:rsidR="008305CE" w:rsidRPr="008305CE" w:rsidRDefault="008305CE" w:rsidP="008305CE"/>
    <w:sectPr w:rsidR="008305CE" w:rsidRPr="008305CE" w:rsidSect="00512197">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7D60"/>
    <w:multiLevelType w:val="hybridMultilevel"/>
    <w:tmpl w:val="33B4F340"/>
    <w:lvl w:ilvl="0" w:tplc="08090001">
      <w:start w:val="1"/>
      <w:numFmt w:val="bullet"/>
      <w:lvlText w:val=""/>
      <w:lvlJc w:val="left"/>
      <w:pPr>
        <w:tabs>
          <w:tab w:val="num" w:pos="1134"/>
        </w:tabs>
        <w:ind w:left="1134" w:hanging="567"/>
      </w:pPr>
      <w:rPr>
        <w:rFonts w:ascii="Symbol" w:hAnsi="Symbol" w:hint="default"/>
        <w:b w:val="0"/>
        <w:color w:val="auto"/>
        <w:sz w:val="22"/>
        <w:szCs w:val="22"/>
      </w:rPr>
    </w:lvl>
    <w:lvl w:ilvl="1" w:tplc="08090001">
      <w:start w:val="1"/>
      <w:numFmt w:val="bullet"/>
      <w:lvlText w:val=""/>
      <w:lvlJc w:val="left"/>
      <w:pPr>
        <w:tabs>
          <w:tab w:val="num" w:pos="2007"/>
        </w:tabs>
        <w:ind w:left="2007" w:hanging="360"/>
      </w:pPr>
      <w:rPr>
        <w:rFonts w:ascii="Symbol" w:hAnsi="Symbol" w:hint="default"/>
      </w:r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1" w15:restartNumberingAfterBreak="0">
    <w:nsid w:val="0AA6417A"/>
    <w:multiLevelType w:val="hybridMultilevel"/>
    <w:tmpl w:val="43B4DD3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 w15:restartNumberingAfterBreak="0">
    <w:nsid w:val="0D313D31"/>
    <w:multiLevelType w:val="hybridMultilevel"/>
    <w:tmpl w:val="6644B7B6"/>
    <w:lvl w:ilvl="0" w:tplc="08090001">
      <w:start w:val="1"/>
      <w:numFmt w:val="bullet"/>
      <w:lvlText w:val=""/>
      <w:lvlJc w:val="left"/>
      <w:pPr>
        <w:tabs>
          <w:tab w:val="num" w:pos="1854"/>
        </w:tabs>
        <w:ind w:left="1854" w:hanging="567"/>
      </w:pPr>
      <w:rPr>
        <w:rFonts w:ascii="Symbol" w:hAnsi="Symbol" w:hint="default"/>
        <w:b w:val="0"/>
        <w:color w:val="auto"/>
        <w:sz w:val="22"/>
        <w:szCs w:val="22"/>
      </w:rPr>
    </w:lvl>
    <w:lvl w:ilvl="1" w:tplc="08090001">
      <w:start w:val="1"/>
      <w:numFmt w:val="bullet"/>
      <w:lvlText w:val=""/>
      <w:lvlJc w:val="left"/>
      <w:pPr>
        <w:tabs>
          <w:tab w:val="num" w:pos="2727"/>
        </w:tabs>
        <w:ind w:left="2727" w:hanging="360"/>
      </w:pPr>
      <w:rPr>
        <w:rFonts w:ascii="Symbol" w:hAnsi="Symbol" w:hint="default"/>
      </w:rPr>
    </w:lvl>
    <w:lvl w:ilvl="2" w:tplc="0409001B">
      <w:start w:val="1"/>
      <w:numFmt w:val="lowerRoman"/>
      <w:lvlText w:val="%3."/>
      <w:lvlJc w:val="right"/>
      <w:pPr>
        <w:tabs>
          <w:tab w:val="num" w:pos="3447"/>
        </w:tabs>
        <w:ind w:left="3447" w:hanging="180"/>
      </w:pPr>
    </w:lvl>
    <w:lvl w:ilvl="3" w:tplc="0409000F">
      <w:start w:val="1"/>
      <w:numFmt w:val="decimal"/>
      <w:lvlText w:val="%4."/>
      <w:lvlJc w:val="left"/>
      <w:pPr>
        <w:tabs>
          <w:tab w:val="num" w:pos="4167"/>
        </w:tabs>
        <w:ind w:left="4167" w:hanging="360"/>
      </w:pPr>
    </w:lvl>
    <w:lvl w:ilvl="4" w:tplc="04090019">
      <w:start w:val="1"/>
      <w:numFmt w:val="lowerLetter"/>
      <w:lvlText w:val="%5."/>
      <w:lvlJc w:val="left"/>
      <w:pPr>
        <w:tabs>
          <w:tab w:val="num" w:pos="4887"/>
        </w:tabs>
        <w:ind w:left="4887" w:hanging="360"/>
      </w:pPr>
    </w:lvl>
    <w:lvl w:ilvl="5" w:tplc="0409001B">
      <w:start w:val="1"/>
      <w:numFmt w:val="lowerRoman"/>
      <w:lvlText w:val="%6."/>
      <w:lvlJc w:val="right"/>
      <w:pPr>
        <w:tabs>
          <w:tab w:val="num" w:pos="5607"/>
        </w:tabs>
        <w:ind w:left="5607" w:hanging="180"/>
      </w:pPr>
    </w:lvl>
    <w:lvl w:ilvl="6" w:tplc="0409000F">
      <w:start w:val="1"/>
      <w:numFmt w:val="decimal"/>
      <w:lvlText w:val="%7."/>
      <w:lvlJc w:val="left"/>
      <w:pPr>
        <w:tabs>
          <w:tab w:val="num" w:pos="6327"/>
        </w:tabs>
        <w:ind w:left="6327" w:hanging="360"/>
      </w:pPr>
    </w:lvl>
    <w:lvl w:ilvl="7" w:tplc="04090019">
      <w:start w:val="1"/>
      <w:numFmt w:val="lowerLetter"/>
      <w:lvlText w:val="%8."/>
      <w:lvlJc w:val="left"/>
      <w:pPr>
        <w:tabs>
          <w:tab w:val="num" w:pos="7047"/>
        </w:tabs>
        <w:ind w:left="7047" w:hanging="360"/>
      </w:pPr>
    </w:lvl>
    <w:lvl w:ilvl="8" w:tplc="0409001B">
      <w:start w:val="1"/>
      <w:numFmt w:val="lowerRoman"/>
      <w:lvlText w:val="%9."/>
      <w:lvlJc w:val="right"/>
      <w:pPr>
        <w:tabs>
          <w:tab w:val="num" w:pos="7767"/>
        </w:tabs>
        <w:ind w:left="7767" w:hanging="180"/>
      </w:pPr>
    </w:lvl>
  </w:abstractNum>
  <w:abstractNum w:abstractNumId="3" w15:restartNumberingAfterBreak="0">
    <w:nsid w:val="13EF6B9A"/>
    <w:multiLevelType w:val="hybridMultilevel"/>
    <w:tmpl w:val="8D2E8E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85B06D2"/>
    <w:multiLevelType w:val="hybridMultilevel"/>
    <w:tmpl w:val="169488E2"/>
    <w:lvl w:ilvl="0" w:tplc="0809000F">
      <w:start w:val="1"/>
      <w:numFmt w:val="decimal"/>
      <w:lvlText w:val="%1."/>
      <w:lvlJc w:val="left"/>
      <w:pPr>
        <w:tabs>
          <w:tab w:val="num" w:pos="567"/>
        </w:tabs>
        <w:ind w:left="567" w:hanging="567"/>
      </w:pPr>
      <w:rPr>
        <w:rFonts w:hint="default"/>
        <w:b w:val="0"/>
        <w:color w:val="auto"/>
        <w:sz w:val="22"/>
        <w:szCs w:val="22"/>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786056C"/>
    <w:multiLevelType w:val="hybridMultilevel"/>
    <w:tmpl w:val="27BE0846"/>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00A3D57"/>
    <w:multiLevelType w:val="hybridMultilevel"/>
    <w:tmpl w:val="D6EA51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2094579"/>
    <w:multiLevelType w:val="hybridMultilevel"/>
    <w:tmpl w:val="0FF8DB1E"/>
    <w:lvl w:ilvl="0" w:tplc="08090001">
      <w:start w:val="1"/>
      <w:numFmt w:val="bullet"/>
      <w:lvlText w:val=""/>
      <w:lvlJc w:val="left"/>
      <w:pPr>
        <w:tabs>
          <w:tab w:val="num" w:pos="567"/>
        </w:tabs>
        <w:ind w:left="567" w:hanging="567"/>
      </w:pPr>
      <w:rPr>
        <w:rFonts w:ascii="Symbol" w:hAnsi="Symbol" w:hint="default"/>
        <w:b w:val="0"/>
        <w:color w:val="auto"/>
        <w:sz w:val="22"/>
        <w:szCs w:val="22"/>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5845775"/>
    <w:multiLevelType w:val="hybridMultilevel"/>
    <w:tmpl w:val="D33E86BE"/>
    <w:lvl w:ilvl="0" w:tplc="FFFFFFFF">
      <w:start w:val="1"/>
      <w:numFmt w:val="bullet"/>
      <w:lvlText w:val=""/>
      <w:lvlJc w:val="left"/>
      <w:pPr>
        <w:tabs>
          <w:tab w:val="num" w:pos="1134"/>
        </w:tabs>
        <w:ind w:left="1134" w:hanging="567"/>
      </w:pPr>
      <w:rPr>
        <w:rFonts w:ascii="Symbol" w:hAnsi="Symbol" w:hint="default"/>
        <w:b w:val="0"/>
        <w:i w:val="0"/>
        <w:iCs/>
      </w:rPr>
    </w:lvl>
    <w:lvl w:ilvl="1" w:tplc="FFFFFFFF">
      <w:start w:val="1"/>
      <w:numFmt w:val="bullet"/>
      <w:lvlText w:val=""/>
      <w:lvlJc w:val="left"/>
      <w:pPr>
        <w:tabs>
          <w:tab w:val="num" w:pos="2007"/>
        </w:tabs>
        <w:ind w:left="2007" w:hanging="360"/>
      </w:pPr>
      <w:rPr>
        <w:rFonts w:ascii="Symbol" w:hAnsi="Symbol" w:hint="default"/>
      </w:r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9" w15:restartNumberingAfterBreak="0">
    <w:nsid w:val="46D36021"/>
    <w:multiLevelType w:val="hybridMultilevel"/>
    <w:tmpl w:val="4A0E84EC"/>
    <w:lvl w:ilvl="0" w:tplc="08090001">
      <w:start w:val="1"/>
      <w:numFmt w:val="bullet"/>
      <w:lvlText w:val=""/>
      <w:lvlJc w:val="left"/>
      <w:pPr>
        <w:tabs>
          <w:tab w:val="num" w:pos="1134"/>
        </w:tabs>
        <w:ind w:left="1134" w:hanging="567"/>
      </w:pPr>
      <w:rPr>
        <w:rFonts w:ascii="Symbol" w:hAnsi="Symbol" w:hint="default"/>
        <w:b w:val="0"/>
        <w:color w:val="auto"/>
        <w:sz w:val="22"/>
        <w:szCs w:val="22"/>
      </w:rPr>
    </w:lvl>
    <w:lvl w:ilvl="1" w:tplc="08090001">
      <w:start w:val="1"/>
      <w:numFmt w:val="bullet"/>
      <w:lvlText w:val=""/>
      <w:lvlJc w:val="left"/>
      <w:pPr>
        <w:tabs>
          <w:tab w:val="num" w:pos="2007"/>
        </w:tabs>
        <w:ind w:left="2007" w:hanging="360"/>
      </w:pPr>
      <w:rPr>
        <w:rFonts w:ascii="Symbol" w:hAnsi="Symbol" w:hint="default"/>
      </w:r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10" w15:restartNumberingAfterBreak="0">
    <w:nsid w:val="4A15440D"/>
    <w:multiLevelType w:val="hybridMultilevel"/>
    <w:tmpl w:val="EABA6386"/>
    <w:lvl w:ilvl="0" w:tplc="08090001">
      <w:start w:val="1"/>
      <w:numFmt w:val="bullet"/>
      <w:lvlText w:val=""/>
      <w:lvlJc w:val="left"/>
      <w:pPr>
        <w:tabs>
          <w:tab w:val="num" w:pos="1134"/>
        </w:tabs>
        <w:ind w:left="1134" w:hanging="567"/>
      </w:pPr>
      <w:rPr>
        <w:rFonts w:ascii="Symbol" w:hAnsi="Symbol" w:hint="default"/>
        <w:b w:val="0"/>
        <w:color w:val="auto"/>
        <w:sz w:val="22"/>
        <w:szCs w:val="22"/>
      </w:rPr>
    </w:lvl>
    <w:lvl w:ilvl="1" w:tplc="08090001">
      <w:start w:val="1"/>
      <w:numFmt w:val="bullet"/>
      <w:lvlText w:val=""/>
      <w:lvlJc w:val="left"/>
      <w:pPr>
        <w:tabs>
          <w:tab w:val="num" w:pos="2007"/>
        </w:tabs>
        <w:ind w:left="2007" w:hanging="360"/>
      </w:pPr>
      <w:rPr>
        <w:rFonts w:ascii="Symbol" w:hAnsi="Symbol" w:hint="default"/>
      </w:r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11" w15:restartNumberingAfterBreak="0">
    <w:nsid w:val="4D057E5E"/>
    <w:multiLevelType w:val="hybridMultilevel"/>
    <w:tmpl w:val="6E54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A5FDE"/>
    <w:multiLevelType w:val="hybridMultilevel"/>
    <w:tmpl w:val="0820F3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587559B4"/>
    <w:multiLevelType w:val="hybridMultilevel"/>
    <w:tmpl w:val="0ED2E54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A5D6A7C"/>
    <w:multiLevelType w:val="hybridMultilevel"/>
    <w:tmpl w:val="A750210A"/>
    <w:lvl w:ilvl="0" w:tplc="08090001">
      <w:start w:val="1"/>
      <w:numFmt w:val="bullet"/>
      <w:lvlText w:val=""/>
      <w:lvlJc w:val="left"/>
      <w:pPr>
        <w:tabs>
          <w:tab w:val="num" w:pos="567"/>
        </w:tabs>
        <w:ind w:left="567" w:hanging="567"/>
      </w:pPr>
      <w:rPr>
        <w:rFonts w:ascii="Symbol" w:hAnsi="Symbol" w:hint="default"/>
        <w:b w:val="0"/>
        <w:color w:val="auto"/>
        <w:sz w:val="22"/>
        <w:szCs w:val="22"/>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BB9028B"/>
    <w:multiLevelType w:val="hybridMultilevel"/>
    <w:tmpl w:val="80362BCC"/>
    <w:lvl w:ilvl="0" w:tplc="08090001">
      <w:start w:val="1"/>
      <w:numFmt w:val="bullet"/>
      <w:lvlText w:val=""/>
      <w:lvlJc w:val="left"/>
      <w:pPr>
        <w:tabs>
          <w:tab w:val="num" w:pos="567"/>
        </w:tabs>
        <w:ind w:left="567" w:hanging="567"/>
      </w:pPr>
      <w:rPr>
        <w:rFonts w:ascii="Symbol" w:hAnsi="Symbol" w:hint="default"/>
        <w:b w:val="0"/>
        <w:color w:val="auto"/>
        <w:sz w:val="22"/>
        <w:szCs w:val="22"/>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E412D85"/>
    <w:multiLevelType w:val="hybridMultilevel"/>
    <w:tmpl w:val="1C14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E81725"/>
    <w:multiLevelType w:val="hybridMultilevel"/>
    <w:tmpl w:val="1AF6C7F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69EB1C28"/>
    <w:multiLevelType w:val="hybridMultilevel"/>
    <w:tmpl w:val="B0A8BD5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9" w15:restartNumberingAfterBreak="0">
    <w:nsid w:val="6B6B4370"/>
    <w:multiLevelType w:val="hybridMultilevel"/>
    <w:tmpl w:val="D4545BE2"/>
    <w:lvl w:ilvl="0" w:tplc="08090005">
      <w:start w:val="1"/>
      <w:numFmt w:val="bullet"/>
      <w:lvlText w:val=""/>
      <w:lvlJc w:val="left"/>
      <w:pPr>
        <w:ind w:left="1800" w:hanging="360"/>
      </w:pPr>
      <w:rPr>
        <w:rFonts w:ascii="Wingdings" w:hAnsi="Wingdings" w:hint="default"/>
      </w:rPr>
    </w:lvl>
    <w:lvl w:ilvl="1" w:tplc="0809000B">
      <w:start w:val="1"/>
      <w:numFmt w:val="bullet"/>
      <w:lvlText w:val=""/>
      <w:lvlJc w:val="left"/>
      <w:pPr>
        <w:ind w:left="2520" w:hanging="360"/>
      </w:pPr>
      <w:rPr>
        <w:rFonts w:ascii="Wingdings" w:hAnsi="Wingdings"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0" w15:restartNumberingAfterBreak="0">
    <w:nsid w:val="75382F66"/>
    <w:multiLevelType w:val="hybridMultilevel"/>
    <w:tmpl w:val="364AFB80"/>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1" w15:restartNumberingAfterBreak="0">
    <w:nsid w:val="759769E4"/>
    <w:multiLevelType w:val="hybridMultilevel"/>
    <w:tmpl w:val="1C509F7E"/>
    <w:lvl w:ilvl="0" w:tplc="08090017">
      <w:start w:val="1"/>
      <w:numFmt w:val="lowerLetter"/>
      <w:lvlText w:val="%1)"/>
      <w:lvlJc w:val="left"/>
      <w:pPr>
        <w:tabs>
          <w:tab w:val="num" w:pos="1134"/>
        </w:tabs>
        <w:ind w:left="1134" w:hanging="567"/>
      </w:pPr>
      <w:rPr>
        <w:b w:val="0"/>
        <w:color w:val="auto"/>
        <w:sz w:val="22"/>
        <w:szCs w:val="22"/>
      </w:rPr>
    </w:lvl>
    <w:lvl w:ilvl="1" w:tplc="08090001">
      <w:start w:val="1"/>
      <w:numFmt w:val="bullet"/>
      <w:lvlText w:val=""/>
      <w:lvlJc w:val="left"/>
      <w:pPr>
        <w:tabs>
          <w:tab w:val="num" w:pos="2007"/>
        </w:tabs>
        <w:ind w:left="2007" w:hanging="360"/>
      </w:pPr>
      <w:rPr>
        <w:rFonts w:ascii="Symbol" w:hAnsi="Symbol" w:hint="default"/>
      </w:r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22" w15:restartNumberingAfterBreak="0">
    <w:nsid w:val="75F20861"/>
    <w:multiLevelType w:val="hybridMultilevel"/>
    <w:tmpl w:val="614C1FFA"/>
    <w:lvl w:ilvl="0" w:tplc="08090001">
      <w:start w:val="1"/>
      <w:numFmt w:val="bullet"/>
      <w:lvlText w:val=""/>
      <w:lvlJc w:val="left"/>
      <w:pPr>
        <w:tabs>
          <w:tab w:val="num" w:pos="567"/>
        </w:tabs>
        <w:ind w:left="567" w:hanging="567"/>
      </w:pPr>
      <w:rPr>
        <w:rFonts w:ascii="Symbol" w:hAnsi="Symbol" w:hint="default"/>
        <w:b w:val="0"/>
        <w:color w:val="auto"/>
        <w:sz w:val="22"/>
        <w:szCs w:val="22"/>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9155B1C"/>
    <w:multiLevelType w:val="hybridMultilevel"/>
    <w:tmpl w:val="330A4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116F69"/>
    <w:multiLevelType w:val="hybridMultilevel"/>
    <w:tmpl w:val="BCF8ED74"/>
    <w:lvl w:ilvl="0" w:tplc="08090001">
      <w:start w:val="1"/>
      <w:numFmt w:val="bullet"/>
      <w:lvlText w:val=""/>
      <w:lvlJc w:val="left"/>
      <w:pPr>
        <w:tabs>
          <w:tab w:val="num" w:pos="567"/>
        </w:tabs>
        <w:ind w:left="567" w:hanging="567"/>
      </w:pPr>
      <w:rPr>
        <w:rFonts w:ascii="Symbol" w:hAnsi="Symbol" w:hint="default"/>
        <w:b w:val="0"/>
        <w:color w:val="auto"/>
        <w:sz w:val="22"/>
        <w:szCs w:val="22"/>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F750721"/>
    <w:multiLevelType w:val="hybridMultilevel"/>
    <w:tmpl w:val="73EC96F4"/>
    <w:lvl w:ilvl="0" w:tplc="FFFFFFFF">
      <w:start w:val="1"/>
      <w:numFmt w:val="bullet"/>
      <w:lvlText w:val=""/>
      <w:lvlJc w:val="left"/>
      <w:pPr>
        <w:tabs>
          <w:tab w:val="num" w:pos="567"/>
        </w:tabs>
        <w:ind w:left="567" w:hanging="567"/>
      </w:pPr>
      <w:rPr>
        <w:rFonts w:ascii="Symbol" w:hAnsi="Symbol" w:hint="default"/>
        <w:b w:val="0"/>
        <w:i w:val="0"/>
        <w:iCs/>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21"/>
  </w:num>
  <w:num w:numId="6">
    <w:abstractNumId w:val="22"/>
  </w:num>
  <w:num w:numId="7">
    <w:abstractNumId w:val="0"/>
  </w:num>
  <w:num w:numId="8">
    <w:abstractNumId w:val="1"/>
  </w:num>
  <w:num w:numId="9">
    <w:abstractNumId w:val="13"/>
  </w:num>
  <w:num w:numId="10">
    <w:abstractNumId w:val="5"/>
  </w:num>
  <w:num w:numId="11">
    <w:abstractNumId w:val="1"/>
  </w:num>
  <w:num w:numId="12">
    <w:abstractNumId w:val="20"/>
  </w:num>
  <w:num w:numId="13">
    <w:abstractNumId w:val="19"/>
  </w:num>
  <w:num w:numId="14">
    <w:abstractNumId w:val="2"/>
  </w:num>
  <w:num w:numId="15">
    <w:abstractNumId w:val="7"/>
  </w:num>
  <w:num w:numId="16">
    <w:abstractNumId w:val="10"/>
  </w:num>
  <w:num w:numId="17">
    <w:abstractNumId w:val="9"/>
  </w:num>
  <w:num w:numId="18">
    <w:abstractNumId w:val="18"/>
  </w:num>
  <w:num w:numId="19">
    <w:abstractNumId w:val="14"/>
  </w:num>
  <w:num w:numId="20">
    <w:abstractNumId w:val="24"/>
  </w:num>
  <w:num w:numId="21">
    <w:abstractNumId w:val="19"/>
  </w:num>
  <w:num w:numId="22">
    <w:abstractNumId w:val="15"/>
  </w:num>
  <w:num w:numId="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3"/>
  </w:num>
  <w:num w:numId="29">
    <w:abstractNumId w:val="3"/>
  </w:num>
  <w:num w:numId="30">
    <w:abstractNumId w:val="12"/>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7F"/>
    <w:rsid w:val="00000A7F"/>
    <w:rsid w:val="00000FA9"/>
    <w:rsid w:val="00005942"/>
    <w:rsid w:val="00006F2D"/>
    <w:rsid w:val="000146AE"/>
    <w:rsid w:val="00015345"/>
    <w:rsid w:val="0001604E"/>
    <w:rsid w:val="0001653A"/>
    <w:rsid w:val="00020028"/>
    <w:rsid w:val="0002022A"/>
    <w:rsid w:val="000245D8"/>
    <w:rsid w:val="00025239"/>
    <w:rsid w:val="0003093F"/>
    <w:rsid w:val="00030E75"/>
    <w:rsid w:val="00031086"/>
    <w:rsid w:val="000369C5"/>
    <w:rsid w:val="000369D0"/>
    <w:rsid w:val="00043FC1"/>
    <w:rsid w:val="0004518E"/>
    <w:rsid w:val="00055B95"/>
    <w:rsid w:val="00056722"/>
    <w:rsid w:val="00063806"/>
    <w:rsid w:val="000653CC"/>
    <w:rsid w:val="00065E00"/>
    <w:rsid w:val="000660F7"/>
    <w:rsid w:val="0007319D"/>
    <w:rsid w:val="0007551E"/>
    <w:rsid w:val="0007650E"/>
    <w:rsid w:val="00081C48"/>
    <w:rsid w:val="0008775E"/>
    <w:rsid w:val="00095204"/>
    <w:rsid w:val="000A1279"/>
    <w:rsid w:val="000A12A0"/>
    <w:rsid w:val="000A1C2D"/>
    <w:rsid w:val="000A2885"/>
    <w:rsid w:val="000A5664"/>
    <w:rsid w:val="000A56FF"/>
    <w:rsid w:val="000B0210"/>
    <w:rsid w:val="000B18DA"/>
    <w:rsid w:val="000B5D03"/>
    <w:rsid w:val="000B5D4B"/>
    <w:rsid w:val="000C591F"/>
    <w:rsid w:val="000D33B2"/>
    <w:rsid w:val="000D40C5"/>
    <w:rsid w:val="000D5313"/>
    <w:rsid w:val="000D6C76"/>
    <w:rsid w:val="000E0FAF"/>
    <w:rsid w:val="000E2D65"/>
    <w:rsid w:val="000E61E0"/>
    <w:rsid w:val="000E65E0"/>
    <w:rsid w:val="000E66BC"/>
    <w:rsid w:val="000F1B32"/>
    <w:rsid w:val="000F4BBB"/>
    <w:rsid w:val="000F74D4"/>
    <w:rsid w:val="00100BDE"/>
    <w:rsid w:val="00100C08"/>
    <w:rsid w:val="00101CFB"/>
    <w:rsid w:val="00103726"/>
    <w:rsid w:val="00104439"/>
    <w:rsid w:val="00105F31"/>
    <w:rsid w:val="00110091"/>
    <w:rsid w:val="001114BE"/>
    <w:rsid w:val="00112D0B"/>
    <w:rsid w:val="00116D8E"/>
    <w:rsid w:val="001242A8"/>
    <w:rsid w:val="00124968"/>
    <w:rsid w:val="00124E8E"/>
    <w:rsid w:val="001254A7"/>
    <w:rsid w:val="001256A7"/>
    <w:rsid w:val="00131366"/>
    <w:rsid w:val="00134EDC"/>
    <w:rsid w:val="00140C65"/>
    <w:rsid w:val="001436B9"/>
    <w:rsid w:val="00146E32"/>
    <w:rsid w:val="00151AB6"/>
    <w:rsid w:val="00152DBE"/>
    <w:rsid w:val="00157CE1"/>
    <w:rsid w:val="001611A0"/>
    <w:rsid w:val="00162C12"/>
    <w:rsid w:val="00163353"/>
    <w:rsid w:val="00170CCB"/>
    <w:rsid w:val="00171F19"/>
    <w:rsid w:val="00172D3E"/>
    <w:rsid w:val="00174040"/>
    <w:rsid w:val="00186043"/>
    <w:rsid w:val="0019226A"/>
    <w:rsid w:val="001933D1"/>
    <w:rsid w:val="00193D18"/>
    <w:rsid w:val="00194952"/>
    <w:rsid w:val="001A2D64"/>
    <w:rsid w:val="001A3D55"/>
    <w:rsid w:val="001A3E6A"/>
    <w:rsid w:val="001B12B6"/>
    <w:rsid w:val="001B1D30"/>
    <w:rsid w:val="001B3066"/>
    <w:rsid w:val="001B41D2"/>
    <w:rsid w:val="001C11DD"/>
    <w:rsid w:val="001C2331"/>
    <w:rsid w:val="001C78F8"/>
    <w:rsid w:val="001D0F6C"/>
    <w:rsid w:val="001D2C1A"/>
    <w:rsid w:val="001D3A74"/>
    <w:rsid w:val="001E0B12"/>
    <w:rsid w:val="001E3343"/>
    <w:rsid w:val="001E4EFB"/>
    <w:rsid w:val="001E524A"/>
    <w:rsid w:val="001E5BB6"/>
    <w:rsid w:val="001E6A79"/>
    <w:rsid w:val="001F22AC"/>
    <w:rsid w:val="001F3930"/>
    <w:rsid w:val="001F70B8"/>
    <w:rsid w:val="002029B0"/>
    <w:rsid w:val="0020377F"/>
    <w:rsid w:val="00206417"/>
    <w:rsid w:val="002068C0"/>
    <w:rsid w:val="00210DD1"/>
    <w:rsid w:val="00214998"/>
    <w:rsid w:val="00215033"/>
    <w:rsid w:val="00215172"/>
    <w:rsid w:val="002153AF"/>
    <w:rsid w:val="00215468"/>
    <w:rsid w:val="0021634D"/>
    <w:rsid w:val="0022304B"/>
    <w:rsid w:val="0022382C"/>
    <w:rsid w:val="00223C5E"/>
    <w:rsid w:val="002247CA"/>
    <w:rsid w:val="00227584"/>
    <w:rsid w:val="00230141"/>
    <w:rsid w:val="00230D54"/>
    <w:rsid w:val="00231F35"/>
    <w:rsid w:val="00234199"/>
    <w:rsid w:val="0024416D"/>
    <w:rsid w:val="002445CF"/>
    <w:rsid w:val="00250C7F"/>
    <w:rsid w:val="00251087"/>
    <w:rsid w:val="00252101"/>
    <w:rsid w:val="00252454"/>
    <w:rsid w:val="00252FCD"/>
    <w:rsid w:val="00253C87"/>
    <w:rsid w:val="0025549F"/>
    <w:rsid w:val="002571EC"/>
    <w:rsid w:val="00257807"/>
    <w:rsid w:val="00260C36"/>
    <w:rsid w:val="00265B61"/>
    <w:rsid w:val="00271918"/>
    <w:rsid w:val="0027360A"/>
    <w:rsid w:val="002769B7"/>
    <w:rsid w:val="00281992"/>
    <w:rsid w:val="00287D7C"/>
    <w:rsid w:val="0029003A"/>
    <w:rsid w:val="00290555"/>
    <w:rsid w:val="00291C2E"/>
    <w:rsid w:val="00293A29"/>
    <w:rsid w:val="00293C80"/>
    <w:rsid w:val="00295B46"/>
    <w:rsid w:val="00297BDC"/>
    <w:rsid w:val="002A05C3"/>
    <w:rsid w:val="002A2CCB"/>
    <w:rsid w:val="002A652B"/>
    <w:rsid w:val="002A659C"/>
    <w:rsid w:val="002A7465"/>
    <w:rsid w:val="002B3B0B"/>
    <w:rsid w:val="002B4EB8"/>
    <w:rsid w:val="002B7560"/>
    <w:rsid w:val="002B7665"/>
    <w:rsid w:val="002C055E"/>
    <w:rsid w:val="002C2E3A"/>
    <w:rsid w:val="002C45E8"/>
    <w:rsid w:val="002C5900"/>
    <w:rsid w:val="002C5AC2"/>
    <w:rsid w:val="002D153D"/>
    <w:rsid w:val="002D1CAB"/>
    <w:rsid w:val="002D316E"/>
    <w:rsid w:val="002D3FFE"/>
    <w:rsid w:val="002D5727"/>
    <w:rsid w:val="002D5CE9"/>
    <w:rsid w:val="002D6A0A"/>
    <w:rsid w:val="002E1C4B"/>
    <w:rsid w:val="002E32B6"/>
    <w:rsid w:val="002E38A8"/>
    <w:rsid w:val="002E3E7D"/>
    <w:rsid w:val="002E50CA"/>
    <w:rsid w:val="002E5488"/>
    <w:rsid w:val="002F37B9"/>
    <w:rsid w:val="002F3E67"/>
    <w:rsid w:val="002F3EB9"/>
    <w:rsid w:val="002F453B"/>
    <w:rsid w:val="002F516E"/>
    <w:rsid w:val="0030195B"/>
    <w:rsid w:val="0030692B"/>
    <w:rsid w:val="00306EBF"/>
    <w:rsid w:val="00307BA4"/>
    <w:rsid w:val="003114D1"/>
    <w:rsid w:val="00312E5E"/>
    <w:rsid w:val="00315478"/>
    <w:rsid w:val="003219E2"/>
    <w:rsid w:val="00321ACD"/>
    <w:rsid w:val="0032544A"/>
    <w:rsid w:val="00327AA4"/>
    <w:rsid w:val="00327BF0"/>
    <w:rsid w:val="00334338"/>
    <w:rsid w:val="00335BD5"/>
    <w:rsid w:val="00336A08"/>
    <w:rsid w:val="00343EBF"/>
    <w:rsid w:val="00344CDA"/>
    <w:rsid w:val="003507BD"/>
    <w:rsid w:val="00350CFA"/>
    <w:rsid w:val="00352A41"/>
    <w:rsid w:val="00353686"/>
    <w:rsid w:val="00361F5A"/>
    <w:rsid w:val="003640E8"/>
    <w:rsid w:val="003661DF"/>
    <w:rsid w:val="00366CF2"/>
    <w:rsid w:val="0037181F"/>
    <w:rsid w:val="00374FB3"/>
    <w:rsid w:val="0037576D"/>
    <w:rsid w:val="00381D67"/>
    <w:rsid w:val="00382421"/>
    <w:rsid w:val="0038336E"/>
    <w:rsid w:val="00384F25"/>
    <w:rsid w:val="00391035"/>
    <w:rsid w:val="003914FB"/>
    <w:rsid w:val="003920D8"/>
    <w:rsid w:val="00393016"/>
    <w:rsid w:val="00394518"/>
    <w:rsid w:val="00395FC8"/>
    <w:rsid w:val="003A1E14"/>
    <w:rsid w:val="003A26BD"/>
    <w:rsid w:val="003A3C55"/>
    <w:rsid w:val="003A43C3"/>
    <w:rsid w:val="003A5097"/>
    <w:rsid w:val="003A6E14"/>
    <w:rsid w:val="003A77E8"/>
    <w:rsid w:val="003B01FD"/>
    <w:rsid w:val="003B178C"/>
    <w:rsid w:val="003B5EF4"/>
    <w:rsid w:val="003C0800"/>
    <w:rsid w:val="003C5933"/>
    <w:rsid w:val="003C5B77"/>
    <w:rsid w:val="003C5FA3"/>
    <w:rsid w:val="003C7A51"/>
    <w:rsid w:val="003D2633"/>
    <w:rsid w:val="003E16CB"/>
    <w:rsid w:val="003E201D"/>
    <w:rsid w:val="003E5C65"/>
    <w:rsid w:val="003E5DC3"/>
    <w:rsid w:val="003F0ED0"/>
    <w:rsid w:val="003F2DAB"/>
    <w:rsid w:val="003F355A"/>
    <w:rsid w:val="003F5CDE"/>
    <w:rsid w:val="00402FCE"/>
    <w:rsid w:val="0040347C"/>
    <w:rsid w:val="00406D28"/>
    <w:rsid w:val="0041071B"/>
    <w:rsid w:val="00416A2B"/>
    <w:rsid w:val="004203CF"/>
    <w:rsid w:val="00421B8A"/>
    <w:rsid w:val="00424575"/>
    <w:rsid w:val="004259DF"/>
    <w:rsid w:val="004306A7"/>
    <w:rsid w:val="004306D0"/>
    <w:rsid w:val="00431360"/>
    <w:rsid w:val="0043381C"/>
    <w:rsid w:val="004338D4"/>
    <w:rsid w:val="00437539"/>
    <w:rsid w:val="0044067F"/>
    <w:rsid w:val="00441DB7"/>
    <w:rsid w:val="00442BD9"/>
    <w:rsid w:val="00442CF9"/>
    <w:rsid w:val="00445119"/>
    <w:rsid w:val="00446F10"/>
    <w:rsid w:val="00450B49"/>
    <w:rsid w:val="00457236"/>
    <w:rsid w:val="00465F50"/>
    <w:rsid w:val="004706D8"/>
    <w:rsid w:val="0047408E"/>
    <w:rsid w:val="00474262"/>
    <w:rsid w:val="004748E2"/>
    <w:rsid w:val="00474EEE"/>
    <w:rsid w:val="00476808"/>
    <w:rsid w:val="00480F5B"/>
    <w:rsid w:val="00481242"/>
    <w:rsid w:val="00482636"/>
    <w:rsid w:val="00490E85"/>
    <w:rsid w:val="004A3855"/>
    <w:rsid w:val="004B0BAB"/>
    <w:rsid w:val="004B14C0"/>
    <w:rsid w:val="004B1CB6"/>
    <w:rsid w:val="004B478C"/>
    <w:rsid w:val="004B4C74"/>
    <w:rsid w:val="004B4E0F"/>
    <w:rsid w:val="004B501D"/>
    <w:rsid w:val="004B7373"/>
    <w:rsid w:val="004C435D"/>
    <w:rsid w:val="004C4E4B"/>
    <w:rsid w:val="004D002E"/>
    <w:rsid w:val="004D24F6"/>
    <w:rsid w:val="004D34D6"/>
    <w:rsid w:val="004D3883"/>
    <w:rsid w:val="004D5B1E"/>
    <w:rsid w:val="004E231A"/>
    <w:rsid w:val="004E4158"/>
    <w:rsid w:val="004E5C52"/>
    <w:rsid w:val="004E6EFC"/>
    <w:rsid w:val="004F0B60"/>
    <w:rsid w:val="004F5368"/>
    <w:rsid w:val="004F7358"/>
    <w:rsid w:val="005031CD"/>
    <w:rsid w:val="00505072"/>
    <w:rsid w:val="00506279"/>
    <w:rsid w:val="005075E0"/>
    <w:rsid w:val="00512197"/>
    <w:rsid w:val="00514816"/>
    <w:rsid w:val="00514A5E"/>
    <w:rsid w:val="00521606"/>
    <w:rsid w:val="00524226"/>
    <w:rsid w:val="00530084"/>
    <w:rsid w:val="00531584"/>
    <w:rsid w:val="00532865"/>
    <w:rsid w:val="00535525"/>
    <w:rsid w:val="00541246"/>
    <w:rsid w:val="005418CC"/>
    <w:rsid w:val="005468C1"/>
    <w:rsid w:val="005529E9"/>
    <w:rsid w:val="005534EE"/>
    <w:rsid w:val="00554B2A"/>
    <w:rsid w:val="00555EB2"/>
    <w:rsid w:val="00555F22"/>
    <w:rsid w:val="0055653B"/>
    <w:rsid w:val="00557AC7"/>
    <w:rsid w:val="005622D0"/>
    <w:rsid w:val="00563B74"/>
    <w:rsid w:val="00563F46"/>
    <w:rsid w:val="00566190"/>
    <w:rsid w:val="005712BE"/>
    <w:rsid w:val="005722DF"/>
    <w:rsid w:val="00574AEA"/>
    <w:rsid w:val="00576470"/>
    <w:rsid w:val="00576646"/>
    <w:rsid w:val="00581F50"/>
    <w:rsid w:val="005841E1"/>
    <w:rsid w:val="00585450"/>
    <w:rsid w:val="00590984"/>
    <w:rsid w:val="00592375"/>
    <w:rsid w:val="0059283C"/>
    <w:rsid w:val="005A1730"/>
    <w:rsid w:val="005A3995"/>
    <w:rsid w:val="005A6153"/>
    <w:rsid w:val="005B295A"/>
    <w:rsid w:val="005B57AA"/>
    <w:rsid w:val="005C335F"/>
    <w:rsid w:val="005C5F22"/>
    <w:rsid w:val="005C711C"/>
    <w:rsid w:val="005C75A8"/>
    <w:rsid w:val="005D103B"/>
    <w:rsid w:val="005E2015"/>
    <w:rsid w:val="005E4A1A"/>
    <w:rsid w:val="005F6669"/>
    <w:rsid w:val="005F6DCE"/>
    <w:rsid w:val="005F7192"/>
    <w:rsid w:val="005F7ACF"/>
    <w:rsid w:val="00601A9F"/>
    <w:rsid w:val="006032CB"/>
    <w:rsid w:val="006039B6"/>
    <w:rsid w:val="006044C9"/>
    <w:rsid w:val="006100D3"/>
    <w:rsid w:val="006101DA"/>
    <w:rsid w:val="006125E9"/>
    <w:rsid w:val="0061389A"/>
    <w:rsid w:val="00615C14"/>
    <w:rsid w:val="00615CAC"/>
    <w:rsid w:val="00616B5A"/>
    <w:rsid w:val="0062095C"/>
    <w:rsid w:val="0062120B"/>
    <w:rsid w:val="006224A4"/>
    <w:rsid w:val="006227B2"/>
    <w:rsid w:val="00623A28"/>
    <w:rsid w:val="0062736D"/>
    <w:rsid w:val="00630A81"/>
    <w:rsid w:val="006322D3"/>
    <w:rsid w:val="00635264"/>
    <w:rsid w:val="00635A5C"/>
    <w:rsid w:val="00644AFD"/>
    <w:rsid w:val="006456FA"/>
    <w:rsid w:val="00652D48"/>
    <w:rsid w:val="00653C24"/>
    <w:rsid w:val="00653FF9"/>
    <w:rsid w:val="00655A5F"/>
    <w:rsid w:val="00660F5A"/>
    <w:rsid w:val="00662AE3"/>
    <w:rsid w:val="00662BD5"/>
    <w:rsid w:val="00665ABD"/>
    <w:rsid w:val="006704C6"/>
    <w:rsid w:val="006800B0"/>
    <w:rsid w:val="00680C35"/>
    <w:rsid w:val="0068446F"/>
    <w:rsid w:val="00685A2E"/>
    <w:rsid w:val="006905CB"/>
    <w:rsid w:val="00695A1B"/>
    <w:rsid w:val="00696D1C"/>
    <w:rsid w:val="006A2FDC"/>
    <w:rsid w:val="006A4F0C"/>
    <w:rsid w:val="006A59E6"/>
    <w:rsid w:val="006A67E5"/>
    <w:rsid w:val="006A7C00"/>
    <w:rsid w:val="006B0785"/>
    <w:rsid w:val="006B09BD"/>
    <w:rsid w:val="006B1912"/>
    <w:rsid w:val="006B32F5"/>
    <w:rsid w:val="006B3AAA"/>
    <w:rsid w:val="006B53BD"/>
    <w:rsid w:val="006C0623"/>
    <w:rsid w:val="006C6A9B"/>
    <w:rsid w:val="006D205F"/>
    <w:rsid w:val="006D265F"/>
    <w:rsid w:val="006D6DF0"/>
    <w:rsid w:val="006E1FBD"/>
    <w:rsid w:val="006E281F"/>
    <w:rsid w:val="006E46D5"/>
    <w:rsid w:val="006F2397"/>
    <w:rsid w:val="006F23EE"/>
    <w:rsid w:val="006F4271"/>
    <w:rsid w:val="006F42B6"/>
    <w:rsid w:val="006F64A5"/>
    <w:rsid w:val="006F72B6"/>
    <w:rsid w:val="00701A26"/>
    <w:rsid w:val="007033E6"/>
    <w:rsid w:val="00705D68"/>
    <w:rsid w:val="007105B1"/>
    <w:rsid w:val="00713425"/>
    <w:rsid w:val="00713A2C"/>
    <w:rsid w:val="0071420C"/>
    <w:rsid w:val="007176D0"/>
    <w:rsid w:val="007222BF"/>
    <w:rsid w:val="00722961"/>
    <w:rsid w:val="007256CA"/>
    <w:rsid w:val="00726DCB"/>
    <w:rsid w:val="00726F86"/>
    <w:rsid w:val="007275C6"/>
    <w:rsid w:val="007377E6"/>
    <w:rsid w:val="007418E8"/>
    <w:rsid w:val="00745706"/>
    <w:rsid w:val="007464C2"/>
    <w:rsid w:val="00747282"/>
    <w:rsid w:val="00753676"/>
    <w:rsid w:val="00755092"/>
    <w:rsid w:val="00760223"/>
    <w:rsid w:val="00761A08"/>
    <w:rsid w:val="00772CDB"/>
    <w:rsid w:val="00773571"/>
    <w:rsid w:val="0077485B"/>
    <w:rsid w:val="007756E1"/>
    <w:rsid w:val="00780F8A"/>
    <w:rsid w:val="0078225B"/>
    <w:rsid w:val="00786656"/>
    <w:rsid w:val="00786A96"/>
    <w:rsid w:val="0079010A"/>
    <w:rsid w:val="00792278"/>
    <w:rsid w:val="00792C4B"/>
    <w:rsid w:val="00793F35"/>
    <w:rsid w:val="00796C1D"/>
    <w:rsid w:val="007A1280"/>
    <w:rsid w:val="007A2FBB"/>
    <w:rsid w:val="007A3C5A"/>
    <w:rsid w:val="007B2562"/>
    <w:rsid w:val="007B4819"/>
    <w:rsid w:val="007B78CD"/>
    <w:rsid w:val="007C0BE7"/>
    <w:rsid w:val="007C1658"/>
    <w:rsid w:val="007C3EFE"/>
    <w:rsid w:val="007C63FB"/>
    <w:rsid w:val="007C7050"/>
    <w:rsid w:val="007C7F33"/>
    <w:rsid w:val="007D3129"/>
    <w:rsid w:val="007D440E"/>
    <w:rsid w:val="007D4D13"/>
    <w:rsid w:val="007D5C3D"/>
    <w:rsid w:val="007D6D9A"/>
    <w:rsid w:val="007E0C6B"/>
    <w:rsid w:val="007E2958"/>
    <w:rsid w:val="007E548F"/>
    <w:rsid w:val="007E5EDA"/>
    <w:rsid w:val="007E61CE"/>
    <w:rsid w:val="007F7BE3"/>
    <w:rsid w:val="00801CD7"/>
    <w:rsid w:val="008033EE"/>
    <w:rsid w:val="00804B4F"/>
    <w:rsid w:val="00807D47"/>
    <w:rsid w:val="008101D2"/>
    <w:rsid w:val="00810AE4"/>
    <w:rsid w:val="00816A88"/>
    <w:rsid w:val="00817EC8"/>
    <w:rsid w:val="008234A9"/>
    <w:rsid w:val="0082368C"/>
    <w:rsid w:val="008237BE"/>
    <w:rsid w:val="008305CE"/>
    <w:rsid w:val="00832ED4"/>
    <w:rsid w:val="00835A3B"/>
    <w:rsid w:val="00842D68"/>
    <w:rsid w:val="00842E71"/>
    <w:rsid w:val="00845089"/>
    <w:rsid w:val="008451EB"/>
    <w:rsid w:val="00847A0A"/>
    <w:rsid w:val="00851EAE"/>
    <w:rsid w:val="00852347"/>
    <w:rsid w:val="00852671"/>
    <w:rsid w:val="0085290D"/>
    <w:rsid w:val="00853DB7"/>
    <w:rsid w:val="00867309"/>
    <w:rsid w:val="00870760"/>
    <w:rsid w:val="0087170D"/>
    <w:rsid w:val="008722AF"/>
    <w:rsid w:val="00873094"/>
    <w:rsid w:val="0087513F"/>
    <w:rsid w:val="0087713A"/>
    <w:rsid w:val="00877FC1"/>
    <w:rsid w:val="008806E8"/>
    <w:rsid w:val="00881FD4"/>
    <w:rsid w:val="00883FEE"/>
    <w:rsid w:val="00893870"/>
    <w:rsid w:val="008943F4"/>
    <w:rsid w:val="00894489"/>
    <w:rsid w:val="008A15A9"/>
    <w:rsid w:val="008A29A2"/>
    <w:rsid w:val="008A63BA"/>
    <w:rsid w:val="008A694E"/>
    <w:rsid w:val="008B1023"/>
    <w:rsid w:val="008B3CCA"/>
    <w:rsid w:val="008B7545"/>
    <w:rsid w:val="008C033E"/>
    <w:rsid w:val="008C39EE"/>
    <w:rsid w:val="008D5550"/>
    <w:rsid w:val="008D6949"/>
    <w:rsid w:val="008E0884"/>
    <w:rsid w:val="008E10F3"/>
    <w:rsid w:val="008E53BA"/>
    <w:rsid w:val="008E5497"/>
    <w:rsid w:val="008E79B4"/>
    <w:rsid w:val="008F06C4"/>
    <w:rsid w:val="008F4CC7"/>
    <w:rsid w:val="009004AB"/>
    <w:rsid w:val="00901EF6"/>
    <w:rsid w:val="0090259C"/>
    <w:rsid w:val="009045BC"/>
    <w:rsid w:val="00905BDC"/>
    <w:rsid w:val="00910DE0"/>
    <w:rsid w:val="0091101F"/>
    <w:rsid w:val="00911DA8"/>
    <w:rsid w:val="00912F03"/>
    <w:rsid w:val="00913895"/>
    <w:rsid w:val="00916388"/>
    <w:rsid w:val="009163AD"/>
    <w:rsid w:val="00924241"/>
    <w:rsid w:val="00930BBE"/>
    <w:rsid w:val="0093303E"/>
    <w:rsid w:val="00935BA3"/>
    <w:rsid w:val="00942EDE"/>
    <w:rsid w:val="0095411B"/>
    <w:rsid w:val="00954CB6"/>
    <w:rsid w:val="00957279"/>
    <w:rsid w:val="0095763D"/>
    <w:rsid w:val="00960D9C"/>
    <w:rsid w:val="00961551"/>
    <w:rsid w:val="0097170F"/>
    <w:rsid w:val="00971B78"/>
    <w:rsid w:val="00974A39"/>
    <w:rsid w:val="00977859"/>
    <w:rsid w:val="00982B67"/>
    <w:rsid w:val="00984EBB"/>
    <w:rsid w:val="00985C49"/>
    <w:rsid w:val="009965D4"/>
    <w:rsid w:val="009A16FC"/>
    <w:rsid w:val="009A7E65"/>
    <w:rsid w:val="009B2720"/>
    <w:rsid w:val="009B6794"/>
    <w:rsid w:val="009C39A6"/>
    <w:rsid w:val="009C5B87"/>
    <w:rsid w:val="009C79D0"/>
    <w:rsid w:val="009D3B21"/>
    <w:rsid w:val="009D54A0"/>
    <w:rsid w:val="009D7116"/>
    <w:rsid w:val="009E4083"/>
    <w:rsid w:val="009E5B74"/>
    <w:rsid w:val="009E6599"/>
    <w:rsid w:val="009E6E48"/>
    <w:rsid w:val="009E7D0C"/>
    <w:rsid w:val="009F358B"/>
    <w:rsid w:val="009F587C"/>
    <w:rsid w:val="009F6B62"/>
    <w:rsid w:val="009F7910"/>
    <w:rsid w:val="00A04494"/>
    <w:rsid w:val="00A04DBB"/>
    <w:rsid w:val="00A0506A"/>
    <w:rsid w:val="00A06728"/>
    <w:rsid w:val="00A06903"/>
    <w:rsid w:val="00A06FBA"/>
    <w:rsid w:val="00A07CFB"/>
    <w:rsid w:val="00A11346"/>
    <w:rsid w:val="00A12441"/>
    <w:rsid w:val="00A1253F"/>
    <w:rsid w:val="00A12B09"/>
    <w:rsid w:val="00A141C8"/>
    <w:rsid w:val="00A1466B"/>
    <w:rsid w:val="00A21C7E"/>
    <w:rsid w:val="00A23CB7"/>
    <w:rsid w:val="00A24572"/>
    <w:rsid w:val="00A34EF7"/>
    <w:rsid w:val="00A35D99"/>
    <w:rsid w:val="00A405D5"/>
    <w:rsid w:val="00A42733"/>
    <w:rsid w:val="00A43289"/>
    <w:rsid w:val="00A43919"/>
    <w:rsid w:val="00A511F5"/>
    <w:rsid w:val="00A54C60"/>
    <w:rsid w:val="00A62FB1"/>
    <w:rsid w:val="00A722DF"/>
    <w:rsid w:val="00A73510"/>
    <w:rsid w:val="00A73B75"/>
    <w:rsid w:val="00A75196"/>
    <w:rsid w:val="00A76B19"/>
    <w:rsid w:val="00A77D2B"/>
    <w:rsid w:val="00A862FA"/>
    <w:rsid w:val="00A90C39"/>
    <w:rsid w:val="00A90DB6"/>
    <w:rsid w:val="00A91672"/>
    <w:rsid w:val="00A91954"/>
    <w:rsid w:val="00A91F3C"/>
    <w:rsid w:val="00A92FE3"/>
    <w:rsid w:val="00A9763A"/>
    <w:rsid w:val="00AA2278"/>
    <w:rsid w:val="00AA37B3"/>
    <w:rsid w:val="00AA46AD"/>
    <w:rsid w:val="00AB3090"/>
    <w:rsid w:val="00AB61EA"/>
    <w:rsid w:val="00AB6C67"/>
    <w:rsid w:val="00AC25E9"/>
    <w:rsid w:val="00AC3523"/>
    <w:rsid w:val="00AC4B29"/>
    <w:rsid w:val="00AC57B1"/>
    <w:rsid w:val="00AC73FE"/>
    <w:rsid w:val="00AD026C"/>
    <w:rsid w:val="00AD2839"/>
    <w:rsid w:val="00AD2A20"/>
    <w:rsid w:val="00AD5315"/>
    <w:rsid w:val="00AE08A0"/>
    <w:rsid w:val="00AE28FD"/>
    <w:rsid w:val="00AE2CB8"/>
    <w:rsid w:val="00AE2F12"/>
    <w:rsid w:val="00AE7670"/>
    <w:rsid w:val="00AF26F5"/>
    <w:rsid w:val="00AF2BF3"/>
    <w:rsid w:val="00AF5702"/>
    <w:rsid w:val="00AF5A4A"/>
    <w:rsid w:val="00B04124"/>
    <w:rsid w:val="00B075B8"/>
    <w:rsid w:val="00B10D6D"/>
    <w:rsid w:val="00B11F41"/>
    <w:rsid w:val="00B14EE1"/>
    <w:rsid w:val="00B15668"/>
    <w:rsid w:val="00B23323"/>
    <w:rsid w:val="00B236E6"/>
    <w:rsid w:val="00B23B28"/>
    <w:rsid w:val="00B27F90"/>
    <w:rsid w:val="00B3586B"/>
    <w:rsid w:val="00B35BDC"/>
    <w:rsid w:val="00B36F48"/>
    <w:rsid w:val="00B4010C"/>
    <w:rsid w:val="00B41F9E"/>
    <w:rsid w:val="00B44C5E"/>
    <w:rsid w:val="00B46AAE"/>
    <w:rsid w:val="00B503D4"/>
    <w:rsid w:val="00B52753"/>
    <w:rsid w:val="00B5420C"/>
    <w:rsid w:val="00B56AA3"/>
    <w:rsid w:val="00B74976"/>
    <w:rsid w:val="00B76933"/>
    <w:rsid w:val="00B80590"/>
    <w:rsid w:val="00B82195"/>
    <w:rsid w:val="00B83543"/>
    <w:rsid w:val="00B86D29"/>
    <w:rsid w:val="00B903B5"/>
    <w:rsid w:val="00B94394"/>
    <w:rsid w:val="00BA1E1D"/>
    <w:rsid w:val="00BA6C54"/>
    <w:rsid w:val="00BA75A1"/>
    <w:rsid w:val="00BB2457"/>
    <w:rsid w:val="00BB3957"/>
    <w:rsid w:val="00BB767A"/>
    <w:rsid w:val="00BC0159"/>
    <w:rsid w:val="00BC09E9"/>
    <w:rsid w:val="00BC31B9"/>
    <w:rsid w:val="00BD01F1"/>
    <w:rsid w:val="00BD18A0"/>
    <w:rsid w:val="00BD6E0F"/>
    <w:rsid w:val="00BE202F"/>
    <w:rsid w:val="00BE20D4"/>
    <w:rsid w:val="00BE2E08"/>
    <w:rsid w:val="00BE3142"/>
    <w:rsid w:val="00BE39D1"/>
    <w:rsid w:val="00BE72F6"/>
    <w:rsid w:val="00BF3D59"/>
    <w:rsid w:val="00BF3D8F"/>
    <w:rsid w:val="00BF4901"/>
    <w:rsid w:val="00C00599"/>
    <w:rsid w:val="00C06269"/>
    <w:rsid w:val="00C107EB"/>
    <w:rsid w:val="00C10FF4"/>
    <w:rsid w:val="00C1122B"/>
    <w:rsid w:val="00C127EE"/>
    <w:rsid w:val="00C13BE2"/>
    <w:rsid w:val="00C14863"/>
    <w:rsid w:val="00C149E8"/>
    <w:rsid w:val="00C15A4A"/>
    <w:rsid w:val="00C20913"/>
    <w:rsid w:val="00C21E52"/>
    <w:rsid w:val="00C221D7"/>
    <w:rsid w:val="00C22410"/>
    <w:rsid w:val="00C226B7"/>
    <w:rsid w:val="00C23610"/>
    <w:rsid w:val="00C23916"/>
    <w:rsid w:val="00C2559B"/>
    <w:rsid w:val="00C32F61"/>
    <w:rsid w:val="00C36624"/>
    <w:rsid w:val="00C3787C"/>
    <w:rsid w:val="00C41EA6"/>
    <w:rsid w:val="00C426B7"/>
    <w:rsid w:val="00C459C4"/>
    <w:rsid w:val="00C46483"/>
    <w:rsid w:val="00C469B6"/>
    <w:rsid w:val="00C500B9"/>
    <w:rsid w:val="00C50410"/>
    <w:rsid w:val="00C518E4"/>
    <w:rsid w:val="00C53900"/>
    <w:rsid w:val="00C54C9F"/>
    <w:rsid w:val="00C57FFC"/>
    <w:rsid w:val="00C66A4A"/>
    <w:rsid w:val="00C75D2B"/>
    <w:rsid w:val="00C81A23"/>
    <w:rsid w:val="00C90866"/>
    <w:rsid w:val="00C91299"/>
    <w:rsid w:val="00C93404"/>
    <w:rsid w:val="00C96502"/>
    <w:rsid w:val="00C977E0"/>
    <w:rsid w:val="00CA1317"/>
    <w:rsid w:val="00CA358D"/>
    <w:rsid w:val="00CA43E7"/>
    <w:rsid w:val="00CA4B9D"/>
    <w:rsid w:val="00CA6430"/>
    <w:rsid w:val="00CA6B6A"/>
    <w:rsid w:val="00CA708E"/>
    <w:rsid w:val="00CB5A82"/>
    <w:rsid w:val="00CB5D8E"/>
    <w:rsid w:val="00CB60BE"/>
    <w:rsid w:val="00CB798B"/>
    <w:rsid w:val="00CC4498"/>
    <w:rsid w:val="00CD5647"/>
    <w:rsid w:val="00CD6E74"/>
    <w:rsid w:val="00CE050F"/>
    <w:rsid w:val="00CE0E22"/>
    <w:rsid w:val="00CE4225"/>
    <w:rsid w:val="00CE6C4E"/>
    <w:rsid w:val="00CF37B3"/>
    <w:rsid w:val="00CF5194"/>
    <w:rsid w:val="00D04B58"/>
    <w:rsid w:val="00D04FF7"/>
    <w:rsid w:val="00D05218"/>
    <w:rsid w:val="00D065E0"/>
    <w:rsid w:val="00D23A19"/>
    <w:rsid w:val="00D24922"/>
    <w:rsid w:val="00D25220"/>
    <w:rsid w:val="00D300C1"/>
    <w:rsid w:val="00D30AB6"/>
    <w:rsid w:val="00D3296C"/>
    <w:rsid w:val="00D33FA4"/>
    <w:rsid w:val="00D34966"/>
    <w:rsid w:val="00D376DB"/>
    <w:rsid w:val="00D40EEC"/>
    <w:rsid w:val="00D4312C"/>
    <w:rsid w:val="00D444A5"/>
    <w:rsid w:val="00D4493E"/>
    <w:rsid w:val="00D463FD"/>
    <w:rsid w:val="00D501DF"/>
    <w:rsid w:val="00D51520"/>
    <w:rsid w:val="00D52E64"/>
    <w:rsid w:val="00D53F86"/>
    <w:rsid w:val="00D5678D"/>
    <w:rsid w:val="00D64B89"/>
    <w:rsid w:val="00D71E80"/>
    <w:rsid w:val="00D72528"/>
    <w:rsid w:val="00D73198"/>
    <w:rsid w:val="00D73B06"/>
    <w:rsid w:val="00D75AEA"/>
    <w:rsid w:val="00D80B09"/>
    <w:rsid w:val="00D839FF"/>
    <w:rsid w:val="00D8514F"/>
    <w:rsid w:val="00D85FA1"/>
    <w:rsid w:val="00D868FD"/>
    <w:rsid w:val="00D8731C"/>
    <w:rsid w:val="00D94C42"/>
    <w:rsid w:val="00D9590D"/>
    <w:rsid w:val="00D97F8C"/>
    <w:rsid w:val="00DA446B"/>
    <w:rsid w:val="00DA5DEE"/>
    <w:rsid w:val="00DA5ED3"/>
    <w:rsid w:val="00DA7415"/>
    <w:rsid w:val="00DB1EBE"/>
    <w:rsid w:val="00DB204C"/>
    <w:rsid w:val="00DB64EF"/>
    <w:rsid w:val="00DC5E56"/>
    <w:rsid w:val="00DC5F0A"/>
    <w:rsid w:val="00DC630A"/>
    <w:rsid w:val="00DC67FA"/>
    <w:rsid w:val="00DC759C"/>
    <w:rsid w:val="00DD1250"/>
    <w:rsid w:val="00DD2793"/>
    <w:rsid w:val="00DD4E11"/>
    <w:rsid w:val="00DD57E0"/>
    <w:rsid w:val="00DD621C"/>
    <w:rsid w:val="00DD631B"/>
    <w:rsid w:val="00DD6872"/>
    <w:rsid w:val="00DE19BA"/>
    <w:rsid w:val="00DE23D7"/>
    <w:rsid w:val="00DE4B41"/>
    <w:rsid w:val="00DE69D3"/>
    <w:rsid w:val="00DE7ACA"/>
    <w:rsid w:val="00DF0B06"/>
    <w:rsid w:val="00DF1A02"/>
    <w:rsid w:val="00DF203B"/>
    <w:rsid w:val="00DF524A"/>
    <w:rsid w:val="00DF5985"/>
    <w:rsid w:val="00DF5BF1"/>
    <w:rsid w:val="00DF6DC4"/>
    <w:rsid w:val="00E004D2"/>
    <w:rsid w:val="00E06985"/>
    <w:rsid w:val="00E1005E"/>
    <w:rsid w:val="00E10C1D"/>
    <w:rsid w:val="00E12D20"/>
    <w:rsid w:val="00E155FC"/>
    <w:rsid w:val="00E16B0D"/>
    <w:rsid w:val="00E17FE4"/>
    <w:rsid w:val="00E21C4C"/>
    <w:rsid w:val="00E2219C"/>
    <w:rsid w:val="00E255F4"/>
    <w:rsid w:val="00E32316"/>
    <w:rsid w:val="00E3584C"/>
    <w:rsid w:val="00E35AF0"/>
    <w:rsid w:val="00E40139"/>
    <w:rsid w:val="00E42888"/>
    <w:rsid w:val="00E42D0E"/>
    <w:rsid w:val="00E44336"/>
    <w:rsid w:val="00E45373"/>
    <w:rsid w:val="00E45C83"/>
    <w:rsid w:val="00E461AA"/>
    <w:rsid w:val="00E47733"/>
    <w:rsid w:val="00E510C2"/>
    <w:rsid w:val="00E51CC3"/>
    <w:rsid w:val="00E53658"/>
    <w:rsid w:val="00E5566A"/>
    <w:rsid w:val="00E55D8C"/>
    <w:rsid w:val="00E56F72"/>
    <w:rsid w:val="00E56FEF"/>
    <w:rsid w:val="00E60C0D"/>
    <w:rsid w:val="00E72449"/>
    <w:rsid w:val="00E7417B"/>
    <w:rsid w:val="00E74ABB"/>
    <w:rsid w:val="00E8689E"/>
    <w:rsid w:val="00E86BAA"/>
    <w:rsid w:val="00E8788F"/>
    <w:rsid w:val="00E92898"/>
    <w:rsid w:val="00E95902"/>
    <w:rsid w:val="00EA2931"/>
    <w:rsid w:val="00EA7494"/>
    <w:rsid w:val="00EB7727"/>
    <w:rsid w:val="00EC49EC"/>
    <w:rsid w:val="00EC515E"/>
    <w:rsid w:val="00EC56E2"/>
    <w:rsid w:val="00EE00D1"/>
    <w:rsid w:val="00EE27DA"/>
    <w:rsid w:val="00EE29F8"/>
    <w:rsid w:val="00EE6A49"/>
    <w:rsid w:val="00EF0C79"/>
    <w:rsid w:val="00EF555C"/>
    <w:rsid w:val="00EF69C0"/>
    <w:rsid w:val="00EF7DA6"/>
    <w:rsid w:val="00F00C35"/>
    <w:rsid w:val="00F0124D"/>
    <w:rsid w:val="00F10215"/>
    <w:rsid w:val="00F12434"/>
    <w:rsid w:val="00F173D2"/>
    <w:rsid w:val="00F17E34"/>
    <w:rsid w:val="00F17F70"/>
    <w:rsid w:val="00F26128"/>
    <w:rsid w:val="00F32B00"/>
    <w:rsid w:val="00F3454E"/>
    <w:rsid w:val="00F354E3"/>
    <w:rsid w:val="00F35967"/>
    <w:rsid w:val="00F35BB4"/>
    <w:rsid w:val="00F37365"/>
    <w:rsid w:val="00F42C67"/>
    <w:rsid w:val="00F4459C"/>
    <w:rsid w:val="00F45428"/>
    <w:rsid w:val="00F46B80"/>
    <w:rsid w:val="00F50415"/>
    <w:rsid w:val="00F558F9"/>
    <w:rsid w:val="00F55A27"/>
    <w:rsid w:val="00F56115"/>
    <w:rsid w:val="00F56CB1"/>
    <w:rsid w:val="00F60AF7"/>
    <w:rsid w:val="00F638E3"/>
    <w:rsid w:val="00F651C5"/>
    <w:rsid w:val="00F65348"/>
    <w:rsid w:val="00F6752B"/>
    <w:rsid w:val="00F72506"/>
    <w:rsid w:val="00F72C7C"/>
    <w:rsid w:val="00F730FB"/>
    <w:rsid w:val="00F759F9"/>
    <w:rsid w:val="00F8512C"/>
    <w:rsid w:val="00F87CE2"/>
    <w:rsid w:val="00F930F5"/>
    <w:rsid w:val="00F94D80"/>
    <w:rsid w:val="00F97B12"/>
    <w:rsid w:val="00FB52DF"/>
    <w:rsid w:val="00FC0976"/>
    <w:rsid w:val="00FC1AF6"/>
    <w:rsid w:val="00FC5A6E"/>
    <w:rsid w:val="00FC6346"/>
    <w:rsid w:val="00FD0720"/>
    <w:rsid w:val="00FD3C86"/>
    <w:rsid w:val="00FD69AE"/>
    <w:rsid w:val="00FE2035"/>
    <w:rsid w:val="00FE3D02"/>
    <w:rsid w:val="00FE6650"/>
    <w:rsid w:val="00FE66B9"/>
    <w:rsid w:val="00FF050D"/>
    <w:rsid w:val="00FF0781"/>
    <w:rsid w:val="00FF1616"/>
    <w:rsid w:val="00FF25A9"/>
    <w:rsid w:val="00FF3679"/>
    <w:rsid w:val="00FF70FA"/>
    <w:rsid w:val="00FF72FA"/>
    <w:rsid w:val="00FF7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DB9B"/>
  <w15:docId w15:val="{B856FD29-E4F5-4AA0-9F0D-8A92E8EF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C7F"/>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D97F8C"/>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7F8C"/>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50C7F"/>
    <w:pPr>
      <w:keepNext/>
      <w:jc w:val="center"/>
      <w:outlineLvl w:val="2"/>
    </w:pPr>
    <w:rPr>
      <w:rFonts w:eastAsia="Times"/>
      <w:b/>
      <w:color w:val="FFFFFF"/>
    </w:rPr>
  </w:style>
  <w:style w:type="paragraph" w:styleId="Heading7">
    <w:name w:val="heading 7"/>
    <w:basedOn w:val="Normal"/>
    <w:next w:val="Normal"/>
    <w:link w:val="Heading7Char"/>
    <w:semiHidden/>
    <w:unhideWhenUsed/>
    <w:qFormat/>
    <w:rsid w:val="00250C7F"/>
    <w:pPr>
      <w:keepNext/>
      <w:pBdr>
        <w:top w:val="single" w:sz="2" w:space="1" w:color="FFFFFF"/>
        <w:left w:val="single" w:sz="2" w:space="0" w:color="FFFFFF"/>
        <w:bottom w:val="single" w:sz="2" w:space="2" w:color="FFFFFF"/>
        <w:right w:val="single" w:sz="2" w:space="4" w:color="FFFFFF"/>
      </w:pBdr>
      <w:tabs>
        <w:tab w:val="left" w:pos="709"/>
      </w:tabs>
      <w:ind w:left="709" w:right="141" w:hanging="709"/>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0C7F"/>
    <w:rPr>
      <w:rFonts w:ascii="Arial" w:eastAsia="Times" w:hAnsi="Arial" w:cs="Times New Roman"/>
      <w:b/>
      <w:color w:val="FFFFFF"/>
      <w:sz w:val="24"/>
      <w:szCs w:val="20"/>
    </w:rPr>
  </w:style>
  <w:style w:type="character" w:customStyle="1" w:styleId="Heading7Char">
    <w:name w:val="Heading 7 Char"/>
    <w:basedOn w:val="DefaultParagraphFont"/>
    <w:link w:val="Heading7"/>
    <w:semiHidden/>
    <w:rsid w:val="00250C7F"/>
    <w:rPr>
      <w:rFonts w:ascii="Arial" w:eastAsia="Times New Roman" w:hAnsi="Arial" w:cs="Times New Roman"/>
      <w:b/>
      <w:bCs/>
      <w:szCs w:val="20"/>
    </w:rPr>
  </w:style>
  <w:style w:type="paragraph" w:styleId="BlockText">
    <w:name w:val="Block Text"/>
    <w:basedOn w:val="Normal"/>
    <w:semiHidden/>
    <w:unhideWhenUsed/>
    <w:rsid w:val="00250C7F"/>
    <w:pPr>
      <w:pBdr>
        <w:top w:val="single" w:sz="2" w:space="1" w:color="FFFFFF"/>
        <w:left w:val="single" w:sz="2" w:space="0" w:color="FFFFFF"/>
        <w:bottom w:val="single" w:sz="2" w:space="2" w:color="FFFFFF"/>
        <w:right w:val="single" w:sz="2" w:space="4" w:color="FFFFFF"/>
      </w:pBdr>
      <w:tabs>
        <w:tab w:val="left" w:pos="709"/>
      </w:tabs>
      <w:ind w:left="360" w:right="141"/>
    </w:pPr>
    <w:rPr>
      <w:bCs/>
      <w:iCs/>
      <w:sz w:val="22"/>
    </w:rPr>
  </w:style>
  <w:style w:type="paragraph" w:styleId="ListParagraph">
    <w:name w:val="List Paragraph"/>
    <w:basedOn w:val="Normal"/>
    <w:uiPriority w:val="34"/>
    <w:qFormat/>
    <w:rsid w:val="00250C7F"/>
    <w:pPr>
      <w:ind w:left="720"/>
      <w:contextualSpacing/>
    </w:pPr>
  </w:style>
  <w:style w:type="table" w:styleId="TableGrid">
    <w:name w:val="Table Grid"/>
    <w:basedOn w:val="TableNormal"/>
    <w:rsid w:val="00250C7F"/>
    <w:pPr>
      <w:spacing w:after="0" w:line="240" w:lineRule="auto"/>
      <w:jc w:val="both"/>
    </w:pPr>
    <w:rPr>
      <w:rFonts w:ascii="Times" w:eastAsia="Times New Roman" w:hAnsi="Times"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C7F"/>
    <w:rPr>
      <w:rFonts w:ascii="Tahoma" w:hAnsi="Tahoma" w:cs="Tahoma"/>
      <w:sz w:val="16"/>
      <w:szCs w:val="16"/>
    </w:rPr>
  </w:style>
  <w:style w:type="character" w:customStyle="1" w:styleId="BalloonTextChar">
    <w:name w:val="Balloon Text Char"/>
    <w:basedOn w:val="DefaultParagraphFont"/>
    <w:link w:val="BalloonText"/>
    <w:uiPriority w:val="99"/>
    <w:semiHidden/>
    <w:rsid w:val="00250C7F"/>
    <w:rPr>
      <w:rFonts w:ascii="Tahoma" w:eastAsia="Times New Roman" w:hAnsi="Tahoma" w:cs="Tahoma"/>
      <w:sz w:val="16"/>
      <w:szCs w:val="16"/>
    </w:rPr>
  </w:style>
  <w:style w:type="character" w:customStyle="1" w:styleId="Heading1Char">
    <w:name w:val="Heading 1 Char"/>
    <w:basedOn w:val="DefaultParagraphFont"/>
    <w:link w:val="Heading1"/>
    <w:uiPriority w:val="9"/>
    <w:rsid w:val="00D97F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7F8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920D8"/>
    <w:rPr>
      <w:sz w:val="16"/>
      <w:szCs w:val="16"/>
    </w:rPr>
  </w:style>
  <w:style w:type="paragraph" w:styleId="CommentText">
    <w:name w:val="annotation text"/>
    <w:basedOn w:val="Normal"/>
    <w:link w:val="CommentTextChar"/>
    <w:uiPriority w:val="99"/>
    <w:semiHidden/>
    <w:unhideWhenUsed/>
    <w:rsid w:val="003920D8"/>
    <w:rPr>
      <w:sz w:val="20"/>
    </w:rPr>
  </w:style>
  <w:style w:type="character" w:customStyle="1" w:styleId="CommentTextChar">
    <w:name w:val="Comment Text Char"/>
    <w:basedOn w:val="DefaultParagraphFont"/>
    <w:link w:val="CommentText"/>
    <w:uiPriority w:val="99"/>
    <w:semiHidden/>
    <w:rsid w:val="003920D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920D8"/>
    <w:rPr>
      <w:b/>
      <w:bCs/>
    </w:rPr>
  </w:style>
  <w:style w:type="character" w:customStyle="1" w:styleId="CommentSubjectChar">
    <w:name w:val="Comment Subject Char"/>
    <w:basedOn w:val="CommentTextChar"/>
    <w:link w:val="CommentSubject"/>
    <w:uiPriority w:val="99"/>
    <w:semiHidden/>
    <w:rsid w:val="003920D8"/>
    <w:rPr>
      <w:rFonts w:ascii="Arial" w:eastAsia="Times New Roman" w:hAnsi="Arial" w:cs="Times New Roman"/>
      <w:b/>
      <w:bCs/>
      <w:sz w:val="20"/>
      <w:szCs w:val="20"/>
    </w:rPr>
  </w:style>
  <w:style w:type="paragraph" w:styleId="Header">
    <w:name w:val="header"/>
    <w:basedOn w:val="Normal"/>
    <w:link w:val="HeaderChar"/>
    <w:semiHidden/>
    <w:unhideWhenUsed/>
    <w:rsid w:val="00845089"/>
    <w:pPr>
      <w:tabs>
        <w:tab w:val="center" w:pos="4153"/>
        <w:tab w:val="right" w:pos="8306"/>
      </w:tabs>
      <w:jc w:val="left"/>
    </w:pPr>
    <w:rPr>
      <w:rFonts w:ascii="Times New Roman" w:hAnsi="Times New Roman"/>
      <w:sz w:val="20"/>
    </w:rPr>
  </w:style>
  <w:style w:type="character" w:customStyle="1" w:styleId="HeaderChar">
    <w:name w:val="Header Char"/>
    <w:basedOn w:val="DefaultParagraphFont"/>
    <w:link w:val="Header"/>
    <w:semiHidden/>
    <w:rsid w:val="00845089"/>
    <w:rPr>
      <w:rFonts w:ascii="Times New Roman" w:eastAsia="Times New Roman" w:hAnsi="Times New Roman" w:cs="Times New Roman"/>
      <w:sz w:val="20"/>
      <w:szCs w:val="20"/>
    </w:rPr>
  </w:style>
  <w:style w:type="paragraph" w:customStyle="1" w:styleId="Default">
    <w:name w:val="Default"/>
    <w:rsid w:val="008234A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nhideWhenUsed/>
    <w:rsid w:val="001D2C1A"/>
    <w:pPr>
      <w:spacing w:after="120"/>
      <w:jc w:val="left"/>
    </w:pPr>
    <w:rPr>
      <w:rFonts w:ascii="Times New Roman" w:hAnsi="Times New Roman"/>
      <w:sz w:val="20"/>
    </w:rPr>
  </w:style>
  <w:style w:type="character" w:customStyle="1" w:styleId="BodyTextChar">
    <w:name w:val="Body Text Char"/>
    <w:basedOn w:val="DefaultParagraphFont"/>
    <w:link w:val="BodyText"/>
    <w:rsid w:val="001D2C1A"/>
    <w:rPr>
      <w:rFonts w:ascii="Times New Roman" w:eastAsia="Times New Roman" w:hAnsi="Times New Roman" w:cs="Times New Roman"/>
      <w:sz w:val="20"/>
      <w:szCs w:val="20"/>
    </w:rPr>
  </w:style>
  <w:style w:type="character" w:customStyle="1" w:styleId="eop">
    <w:name w:val="eop"/>
    <w:rsid w:val="00B903B5"/>
  </w:style>
  <w:style w:type="character" w:styleId="Hyperlink">
    <w:name w:val="Hyperlink"/>
    <w:basedOn w:val="DefaultParagraphFont"/>
    <w:uiPriority w:val="99"/>
    <w:semiHidden/>
    <w:unhideWhenUsed/>
    <w:rsid w:val="009D3B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1870">
      <w:bodyDiv w:val="1"/>
      <w:marLeft w:val="0"/>
      <w:marRight w:val="0"/>
      <w:marTop w:val="0"/>
      <w:marBottom w:val="0"/>
      <w:divBdr>
        <w:top w:val="none" w:sz="0" w:space="0" w:color="auto"/>
        <w:left w:val="none" w:sz="0" w:space="0" w:color="auto"/>
        <w:bottom w:val="none" w:sz="0" w:space="0" w:color="auto"/>
        <w:right w:val="none" w:sz="0" w:space="0" w:color="auto"/>
      </w:divBdr>
    </w:div>
    <w:div w:id="24018723">
      <w:bodyDiv w:val="1"/>
      <w:marLeft w:val="0"/>
      <w:marRight w:val="0"/>
      <w:marTop w:val="0"/>
      <w:marBottom w:val="0"/>
      <w:divBdr>
        <w:top w:val="none" w:sz="0" w:space="0" w:color="auto"/>
        <w:left w:val="none" w:sz="0" w:space="0" w:color="auto"/>
        <w:bottom w:val="none" w:sz="0" w:space="0" w:color="auto"/>
        <w:right w:val="none" w:sz="0" w:space="0" w:color="auto"/>
      </w:divBdr>
    </w:div>
    <w:div w:id="32000915">
      <w:bodyDiv w:val="1"/>
      <w:marLeft w:val="0"/>
      <w:marRight w:val="0"/>
      <w:marTop w:val="0"/>
      <w:marBottom w:val="0"/>
      <w:divBdr>
        <w:top w:val="none" w:sz="0" w:space="0" w:color="auto"/>
        <w:left w:val="none" w:sz="0" w:space="0" w:color="auto"/>
        <w:bottom w:val="none" w:sz="0" w:space="0" w:color="auto"/>
        <w:right w:val="none" w:sz="0" w:space="0" w:color="auto"/>
      </w:divBdr>
    </w:div>
    <w:div w:id="166674076">
      <w:bodyDiv w:val="1"/>
      <w:marLeft w:val="0"/>
      <w:marRight w:val="0"/>
      <w:marTop w:val="0"/>
      <w:marBottom w:val="0"/>
      <w:divBdr>
        <w:top w:val="none" w:sz="0" w:space="0" w:color="auto"/>
        <w:left w:val="none" w:sz="0" w:space="0" w:color="auto"/>
        <w:bottom w:val="none" w:sz="0" w:space="0" w:color="auto"/>
        <w:right w:val="none" w:sz="0" w:space="0" w:color="auto"/>
      </w:divBdr>
    </w:div>
    <w:div w:id="171454980">
      <w:bodyDiv w:val="1"/>
      <w:marLeft w:val="0"/>
      <w:marRight w:val="0"/>
      <w:marTop w:val="0"/>
      <w:marBottom w:val="0"/>
      <w:divBdr>
        <w:top w:val="none" w:sz="0" w:space="0" w:color="auto"/>
        <w:left w:val="none" w:sz="0" w:space="0" w:color="auto"/>
        <w:bottom w:val="none" w:sz="0" w:space="0" w:color="auto"/>
        <w:right w:val="none" w:sz="0" w:space="0" w:color="auto"/>
      </w:divBdr>
    </w:div>
    <w:div w:id="200900234">
      <w:bodyDiv w:val="1"/>
      <w:marLeft w:val="0"/>
      <w:marRight w:val="0"/>
      <w:marTop w:val="0"/>
      <w:marBottom w:val="0"/>
      <w:divBdr>
        <w:top w:val="none" w:sz="0" w:space="0" w:color="auto"/>
        <w:left w:val="none" w:sz="0" w:space="0" w:color="auto"/>
        <w:bottom w:val="none" w:sz="0" w:space="0" w:color="auto"/>
        <w:right w:val="none" w:sz="0" w:space="0" w:color="auto"/>
      </w:divBdr>
    </w:div>
    <w:div w:id="223373444">
      <w:bodyDiv w:val="1"/>
      <w:marLeft w:val="0"/>
      <w:marRight w:val="0"/>
      <w:marTop w:val="0"/>
      <w:marBottom w:val="0"/>
      <w:divBdr>
        <w:top w:val="none" w:sz="0" w:space="0" w:color="auto"/>
        <w:left w:val="none" w:sz="0" w:space="0" w:color="auto"/>
        <w:bottom w:val="none" w:sz="0" w:space="0" w:color="auto"/>
        <w:right w:val="none" w:sz="0" w:space="0" w:color="auto"/>
      </w:divBdr>
    </w:div>
    <w:div w:id="263343165">
      <w:bodyDiv w:val="1"/>
      <w:marLeft w:val="0"/>
      <w:marRight w:val="0"/>
      <w:marTop w:val="0"/>
      <w:marBottom w:val="0"/>
      <w:divBdr>
        <w:top w:val="none" w:sz="0" w:space="0" w:color="auto"/>
        <w:left w:val="none" w:sz="0" w:space="0" w:color="auto"/>
        <w:bottom w:val="none" w:sz="0" w:space="0" w:color="auto"/>
        <w:right w:val="none" w:sz="0" w:space="0" w:color="auto"/>
      </w:divBdr>
    </w:div>
    <w:div w:id="289944766">
      <w:bodyDiv w:val="1"/>
      <w:marLeft w:val="0"/>
      <w:marRight w:val="0"/>
      <w:marTop w:val="0"/>
      <w:marBottom w:val="0"/>
      <w:divBdr>
        <w:top w:val="none" w:sz="0" w:space="0" w:color="auto"/>
        <w:left w:val="none" w:sz="0" w:space="0" w:color="auto"/>
        <w:bottom w:val="none" w:sz="0" w:space="0" w:color="auto"/>
        <w:right w:val="none" w:sz="0" w:space="0" w:color="auto"/>
      </w:divBdr>
    </w:div>
    <w:div w:id="346370911">
      <w:bodyDiv w:val="1"/>
      <w:marLeft w:val="0"/>
      <w:marRight w:val="0"/>
      <w:marTop w:val="0"/>
      <w:marBottom w:val="0"/>
      <w:divBdr>
        <w:top w:val="none" w:sz="0" w:space="0" w:color="auto"/>
        <w:left w:val="none" w:sz="0" w:space="0" w:color="auto"/>
        <w:bottom w:val="none" w:sz="0" w:space="0" w:color="auto"/>
        <w:right w:val="none" w:sz="0" w:space="0" w:color="auto"/>
      </w:divBdr>
    </w:div>
    <w:div w:id="374041699">
      <w:bodyDiv w:val="1"/>
      <w:marLeft w:val="0"/>
      <w:marRight w:val="0"/>
      <w:marTop w:val="0"/>
      <w:marBottom w:val="0"/>
      <w:divBdr>
        <w:top w:val="none" w:sz="0" w:space="0" w:color="auto"/>
        <w:left w:val="none" w:sz="0" w:space="0" w:color="auto"/>
        <w:bottom w:val="none" w:sz="0" w:space="0" w:color="auto"/>
        <w:right w:val="none" w:sz="0" w:space="0" w:color="auto"/>
      </w:divBdr>
    </w:div>
    <w:div w:id="375280528">
      <w:bodyDiv w:val="1"/>
      <w:marLeft w:val="0"/>
      <w:marRight w:val="0"/>
      <w:marTop w:val="0"/>
      <w:marBottom w:val="0"/>
      <w:divBdr>
        <w:top w:val="none" w:sz="0" w:space="0" w:color="auto"/>
        <w:left w:val="none" w:sz="0" w:space="0" w:color="auto"/>
        <w:bottom w:val="none" w:sz="0" w:space="0" w:color="auto"/>
        <w:right w:val="none" w:sz="0" w:space="0" w:color="auto"/>
      </w:divBdr>
    </w:div>
    <w:div w:id="396973902">
      <w:bodyDiv w:val="1"/>
      <w:marLeft w:val="0"/>
      <w:marRight w:val="0"/>
      <w:marTop w:val="0"/>
      <w:marBottom w:val="0"/>
      <w:divBdr>
        <w:top w:val="none" w:sz="0" w:space="0" w:color="auto"/>
        <w:left w:val="none" w:sz="0" w:space="0" w:color="auto"/>
        <w:bottom w:val="none" w:sz="0" w:space="0" w:color="auto"/>
        <w:right w:val="none" w:sz="0" w:space="0" w:color="auto"/>
      </w:divBdr>
    </w:div>
    <w:div w:id="522015593">
      <w:bodyDiv w:val="1"/>
      <w:marLeft w:val="0"/>
      <w:marRight w:val="0"/>
      <w:marTop w:val="0"/>
      <w:marBottom w:val="0"/>
      <w:divBdr>
        <w:top w:val="none" w:sz="0" w:space="0" w:color="auto"/>
        <w:left w:val="none" w:sz="0" w:space="0" w:color="auto"/>
        <w:bottom w:val="none" w:sz="0" w:space="0" w:color="auto"/>
        <w:right w:val="none" w:sz="0" w:space="0" w:color="auto"/>
      </w:divBdr>
    </w:div>
    <w:div w:id="543908582">
      <w:bodyDiv w:val="1"/>
      <w:marLeft w:val="0"/>
      <w:marRight w:val="0"/>
      <w:marTop w:val="0"/>
      <w:marBottom w:val="0"/>
      <w:divBdr>
        <w:top w:val="none" w:sz="0" w:space="0" w:color="auto"/>
        <w:left w:val="none" w:sz="0" w:space="0" w:color="auto"/>
        <w:bottom w:val="none" w:sz="0" w:space="0" w:color="auto"/>
        <w:right w:val="none" w:sz="0" w:space="0" w:color="auto"/>
      </w:divBdr>
    </w:div>
    <w:div w:id="543911548">
      <w:bodyDiv w:val="1"/>
      <w:marLeft w:val="0"/>
      <w:marRight w:val="0"/>
      <w:marTop w:val="0"/>
      <w:marBottom w:val="0"/>
      <w:divBdr>
        <w:top w:val="none" w:sz="0" w:space="0" w:color="auto"/>
        <w:left w:val="none" w:sz="0" w:space="0" w:color="auto"/>
        <w:bottom w:val="none" w:sz="0" w:space="0" w:color="auto"/>
        <w:right w:val="none" w:sz="0" w:space="0" w:color="auto"/>
      </w:divBdr>
    </w:div>
    <w:div w:id="548953786">
      <w:bodyDiv w:val="1"/>
      <w:marLeft w:val="0"/>
      <w:marRight w:val="0"/>
      <w:marTop w:val="0"/>
      <w:marBottom w:val="0"/>
      <w:divBdr>
        <w:top w:val="none" w:sz="0" w:space="0" w:color="auto"/>
        <w:left w:val="none" w:sz="0" w:space="0" w:color="auto"/>
        <w:bottom w:val="none" w:sz="0" w:space="0" w:color="auto"/>
        <w:right w:val="none" w:sz="0" w:space="0" w:color="auto"/>
      </w:divBdr>
    </w:div>
    <w:div w:id="569774867">
      <w:bodyDiv w:val="1"/>
      <w:marLeft w:val="0"/>
      <w:marRight w:val="0"/>
      <w:marTop w:val="0"/>
      <w:marBottom w:val="0"/>
      <w:divBdr>
        <w:top w:val="none" w:sz="0" w:space="0" w:color="auto"/>
        <w:left w:val="none" w:sz="0" w:space="0" w:color="auto"/>
        <w:bottom w:val="none" w:sz="0" w:space="0" w:color="auto"/>
        <w:right w:val="none" w:sz="0" w:space="0" w:color="auto"/>
      </w:divBdr>
    </w:div>
    <w:div w:id="718086928">
      <w:bodyDiv w:val="1"/>
      <w:marLeft w:val="0"/>
      <w:marRight w:val="0"/>
      <w:marTop w:val="0"/>
      <w:marBottom w:val="0"/>
      <w:divBdr>
        <w:top w:val="none" w:sz="0" w:space="0" w:color="auto"/>
        <w:left w:val="none" w:sz="0" w:space="0" w:color="auto"/>
        <w:bottom w:val="none" w:sz="0" w:space="0" w:color="auto"/>
        <w:right w:val="none" w:sz="0" w:space="0" w:color="auto"/>
      </w:divBdr>
    </w:div>
    <w:div w:id="720597552">
      <w:bodyDiv w:val="1"/>
      <w:marLeft w:val="0"/>
      <w:marRight w:val="0"/>
      <w:marTop w:val="0"/>
      <w:marBottom w:val="0"/>
      <w:divBdr>
        <w:top w:val="none" w:sz="0" w:space="0" w:color="auto"/>
        <w:left w:val="none" w:sz="0" w:space="0" w:color="auto"/>
        <w:bottom w:val="none" w:sz="0" w:space="0" w:color="auto"/>
        <w:right w:val="none" w:sz="0" w:space="0" w:color="auto"/>
      </w:divBdr>
    </w:div>
    <w:div w:id="749739228">
      <w:bodyDiv w:val="1"/>
      <w:marLeft w:val="0"/>
      <w:marRight w:val="0"/>
      <w:marTop w:val="0"/>
      <w:marBottom w:val="0"/>
      <w:divBdr>
        <w:top w:val="none" w:sz="0" w:space="0" w:color="auto"/>
        <w:left w:val="none" w:sz="0" w:space="0" w:color="auto"/>
        <w:bottom w:val="none" w:sz="0" w:space="0" w:color="auto"/>
        <w:right w:val="none" w:sz="0" w:space="0" w:color="auto"/>
      </w:divBdr>
    </w:div>
    <w:div w:id="833960493">
      <w:bodyDiv w:val="1"/>
      <w:marLeft w:val="0"/>
      <w:marRight w:val="0"/>
      <w:marTop w:val="0"/>
      <w:marBottom w:val="0"/>
      <w:divBdr>
        <w:top w:val="none" w:sz="0" w:space="0" w:color="auto"/>
        <w:left w:val="none" w:sz="0" w:space="0" w:color="auto"/>
        <w:bottom w:val="none" w:sz="0" w:space="0" w:color="auto"/>
        <w:right w:val="none" w:sz="0" w:space="0" w:color="auto"/>
      </w:divBdr>
    </w:div>
    <w:div w:id="838158740">
      <w:bodyDiv w:val="1"/>
      <w:marLeft w:val="0"/>
      <w:marRight w:val="0"/>
      <w:marTop w:val="0"/>
      <w:marBottom w:val="0"/>
      <w:divBdr>
        <w:top w:val="none" w:sz="0" w:space="0" w:color="auto"/>
        <w:left w:val="none" w:sz="0" w:space="0" w:color="auto"/>
        <w:bottom w:val="none" w:sz="0" w:space="0" w:color="auto"/>
        <w:right w:val="none" w:sz="0" w:space="0" w:color="auto"/>
      </w:divBdr>
    </w:div>
    <w:div w:id="889195811">
      <w:bodyDiv w:val="1"/>
      <w:marLeft w:val="0"/>
      <w:marRight w:val="0"/>
      <w:marTop w:val="0"/>
      <w:marBottom w:val="0"/>
      <w:divBdr>
        <w:top w:val="none" w:sz="0" w:space="0" w:color="auto"/>
        <w:left w:val="none" w:sz="0" w:space="0" w:color="auto"/>
        <w:bottom w:val="none" w:sz="0" w:space="0" w:color="auto"/>
        <w:right w:val="none" w:sz="0" w:space="0" w:color="auto"/>
      </w:divBdr>
    </w:div>
    <w:div w:id="892696628">
      <w:bodyDiv w:val="1"/>
      <w:marLeft w:val="0"/>
      <w:marRight w:val="0"/>
      <w:marTop w:val="0"/>
      <w:marBottom w:val="0"/>
      <w:divBdr>
        <w:top w:val="none" w:sz="0" w:space="0" w:color="auto"/>
        <w:left w:val="none" w:sz="0" w:space="0" w:color="auto"/>
        <w:bottom w:val="none" w:sz="0" w:space="0" w:color="auto"/>
        <w:right w:val="none" w:sz="0" w:space="0" w:color="auto"/>
      </w:divBdr>
    </w:div>
    <w:div w:id="899487236">
      <w:bodyDiv w:val="1"/>
      <w:marLeft w:val="0"/>
      <w:marRight w:val="0"/>
      <w:marTop w:val="0"/>
      <w:marBottom w:val="0"/>
      <w:divBdr>
        <w:top w:val="none" w:sz="0" w:space="0" w:color="auto"/>
        <w:left w:val="none" w:sz="0" w:space="0" w:color="auto"/>
        <w:bottom w:val="none" w:sz="0" w:space="0" w:color="auto"/>
        <w:right w:val="none" w:sz="0" w:space="0" w:color="auto"/>
      </w:divBdr>
    </w:div>
    <w:div w:id="919290698">
      <w:bodyDiv w:val="1"/>
      <w:marLeft w:val="0"/>
      <w:marRight w:val="0"/>
      <w:marTop w:val="0"/>
      <w:marBottom w:val="0"/>
      <w:divBdr>
        <w:top w:val="none" w:sz="0" w:space="0" w:color="auto"/>
        <w:left w:val="none" w:sz="0" w:space="0" w:color="auto"/>
        <w:bottom w:val="none" w:sz="0" w:space="0" w:color="auto"/>
        <w:right w:val="none" w:sz="0" w:space="0" w:color="auto"/>
      </w:divBdr>
    </w:div>
    <w:div w:id="962078735">
      <w:bodyDiv w:val="1"/>
      <w:marLeft w:val="0"/>
      <w:marRight w:val="0"/>
      <w:marTop w:val="0"/>
      <w:marBottom w:val="0"/>
      <w:divBdr>
        <w:top w:val="none" w:sz="0" w:space="0" w:color="auto"/>
        <w:left w:val="none" w:sz="0" w:space="0" w:color="auto"/>
        <w:bottom w:val="none" w:sz="0" w:space="0" w:color="auto"/>
        <w:right w:val="none" w:sz="0" w:space="0" w:color="auto"/>
      </w:divBdr>
    </w:div>
    <w:div w:id="978025444">
      <w:bodyDiv w:val="1"/>
      <w:marLeft w:val="0"/>
      <w:marRight w:val="0"/>
      <w:marTop w:val="0"/>
      <w:marBottom w:val="0"/>
      <w:divBdr>
        <w:top w:val="none" w:sz="0" w:space="0" w:color="auto"/>
        <w:left w:val="none" w:sz="0" w:space="0" w:color="auto"/>
        <w:bottom w:val="none" w:sz="0" w:space="0" w:color="auto"/>
        <w:right w:val="none" w:sz="0" w:space="0" w:color="auto"/>
      </w:divBdr>
    </w:div>
    <w:div w:id="1002465284">
      <w:bodyDiv w:val="1"/>
      <w:marLeft w:val="0"/>
      <w:marRight w:val="0"/>
      <w:marTop w:val="0"/>
      <w:marBottom w:val="0"/>
      <w:divBdr>
        <w:top w:val="none" w:sz="0" w:space="0" w:color="auto"/>
        <w:left w:val="none" w:sz="0" w:space="0" w:color="auto"/>
        <w:bottom w:val="none" w:sz="0" w:space="0" w:color="auto"/>
        <w:right w:val="none" w:sz="0" w:space="0" w:color="auto"/>
      </w:divBdr>
    </w:div>
    <w:div w:id="1030641833">
      <w:bodyDiv w:val="1"/>
      <w:marLeft w:val="0"/>
      <w:marRight w:val="0"/>
      <w:marTop w:val="0"/>
      <w:marBottom w:val="0"/>
      <w:divBdr>
        <w:top w:val="none" w:sz="0" w:space="0" w:color="auto"/>
        <w:left w:val="none" w:sz="0" w:space="0" w:color="auto"/>
        <w:bottom w:val="none" w:sz="0" w:space="0" w:color="auto"/>
        <w:right w:val="none" w:sz="0" w:space="0" w:color="auto"/>
      </w:divBdr>
    </w:div>
    <w:div w:id="1033653552">
      <w:bodyDiv w:val="1"/>
      <w:marLeft w:val="0"/>
      <w:marRight w:val="0"/>
      <w:marTop w:val="0"/>
      <w:marBottom w:val="0"/>
      <w:divBdr>
        <w:top w:val="none" w:sz="0" w:space="0" w:color="auto"/>
        <w:left w:val="none" w:sz="0" w:space="0" w:color="auto"/>
        <w:bottom w:val="none" w:sz="0" w:space="0" w:color="auto"/>
        <w:right w:val="none" w:sz="0" w:space="0" w:color="auto"/>
      </w:divBdr>
    </w:div>
    <w:div w:id="1035542981">
      <w:bodyDiv w:val="1"/>
      <w:marLeft w:val="0"/>
      <w:marRight w:val="0"/>
      <w:marTop w:val="0"/>
      <w:marBottom w:val="0"/>
      <w:divBdr>
        <w:top w:val="none" w:sz="0" w:space="0" w:color="auto"/>
        <w:left w:val="none" w:sz="0" w:space="0" w:color="auto"/>
        <w:bottom w:val="none" w:sz="0" w:space="0" w:color="auto"/>
        <w:right w:val="none" w:sz="0" w:space="0" w:color="auto"/>
      </w:divBdr>
    </w:div>
    <w:div w:id="1040587556">
      <w:bodyDiv w:val="1"/>
      <w:marLeft w:val="0"/>
      <w:marRight w:val="0"/>
      <w:marTop w:val="0"/>
      <w:marBottom w:val="0"/>
      <w:divBdr>
        <w:top w:val="none" w:sz="0" w:space="0" w:color="auto"/>
        <w:left w:val="none" w:sz="0" w:space="0" w:color="auto"/>
        <w:bottom w:val="none" w:sz="0" w:space="0" w:color="auto"/>
        <w:right w:val="none" w:sz="0" w:space="0" w:color="auto"/>
      </w:divBdr>
    </w:div>
    <w:div w:id="1058238537">
      <w:bodyDiv w:val="1"/>
      <w:marLeft w:val="0"/>
      <w:marRight w:val="0"/>
      <w:marTop w:val="0"/>
      <w:marBottom w:val="0"/>
      <w:divBdr>
        <w:top w:val="none" w:sz="0" w:space="0" w:color="auto"/>
        <w:left w:val="none" w:sz="0" w:space="0" w:color="auto"/>
        <w:bottom w:val="none" w:sz="0" w:space="0" w:color="auto"/>
        <w:right w:val="none" w:sz="0" w:space="0" w:color="auto"/>
      </w:divBdr>
    </w:div>
    <w:div w:id="1102534386">
      <w:bodyDiv w:val="1"/>
      <w:marLeft w:val="0"/>
      <w:marRight w:val="0"/>
      <w:marTop w:val="0"/>
      <w:marBottom w:val="0"/>
      <w:divBdr>
        <w:top w:val="none" w:sz="0" w:space="0" w:color="auto"/>
        <w:left w:val="none" w:sz="0" w:space="0" w:color="auto"/>
        <w:bottom w:val="none" w:sz="0" w:space="0" w:color="auto"/>
        <w:right w:val="none" w:sz="0" w:space="0" w:color="auto"/>
      </w:divBdr>
    </w:div>
    <w:div w:id="1118063390">
      <w:bodyDiv w:val="1"/>
      <w:marLeft w:val="0"/>
      <w:marRight w:val="0"/>
      <w:marTop w:val="0"/>
      <w:marBottom w:val="0"/>
      <w:divBdr>
        <w:top w:val="none" w:sz="0" w:space="0" w:color="auto"/>
        <w:left w:val="none" w:sz="0" w:space="0" w:color="auto"/>
        <w:bottom w:val="none" w:sz="0" w:space="0" w:color="auto"/>
        <w:right w:val="none" w:sz="0" w:space="0" w:color="auto"/>
      </w:divBdr>
    </w:div>
    <w:div w:id="1140686456">
      <w:bodyDiv w:val="1"/>
      <w:marLeft w:val="0"/>
      <w:marRight w:val="0"/>
      <w:marTop w:val="0"/>
      <w:marBottom w:val="0"/>
      <w:divBdr>
        <w:top w:val="none" w:sz="0" w:space="0" w:color="auto"/>
        <w:left w:val="none" w:sz="0" w:space="0" w:color="auto"/>
        <w:bottom w:val="none" w:sz="0" w:space="0" w:color="auto"/>
        <w:right w:val="none" w:sz="0" w:space="0" w:color="auto"/>
      </w:divBdr>
    </w:div>
    <w:div w:id="1201357310">
      <w:bodyDiv w:val="1"/>
      <w:marLeft w:val="0"/>
      <w:marRight w:val="0"/>
      <w:marTop w:val="0"/>
      <w:marBottom w:val="0"/>
      <w:divBdr>
        <w:top w:val="none" w:sz="0" w:space="0" w:color="auto"/>
        <w:left w:val="none" w:sz="0" w:space="0" w:color="auto"/>
        <w:bottom w:val="none" w:sz="0" w:space="0" w:color="auto"/>
        <w:right w:val="none" w:sz="0" w:space="0" w:color="auto"/>
      </w:divBdr>
    </w:div>
    <w:div w:id="1203444907">
      <w:bodyDiv w:val="1"/>
      <w:marLeft w:val="0"/>
      <w:marRight w:val="0"/>
      <w:marTop w:val="0"/>
      <w:marBottom w:val="0"/>
      <w:divBdr>
        <w:top w:val="none" w:sz="0" w:space="0" w:color="auto"/>
        <w:left w:val="none" w:sz="0" w:space="0" w:color="auto"/>
        <w:bottom w:val="none" w:sz="0" w:space="0" w:color="auto"/>
        <w:right w:val="none" w:sz="0" w:space="0" w:color="auto"/>
      </w:divBdr>
    </w:div>
    <w:div w:id="1238125112">
      <w:bodyDiv w:val="1"/>
      <w:marLeft w:val="0"/>
      <w:marRight w:val="0"/>
      <w:marTop w:val="0"/>
      <w:marBottom w:val="0"/>
      <w:divBdr>
        <w:top w:val="none" w:sz="0" w:space="0" w:color="auto"/>
        <w:left w:val="none" w:sz="0" w:space="0" w:color="auto"/>
        <w:bottom w:val="none" w:sz="0" w:space="0" w:color="auto"/>
        <w:right w:val="none" w:sz="0" w:space="0" w:color="auto"/>
      </w:divBdr>
    </w:div>
    <w:div w:id="1244952113">
      <w:bodyDiv w:val="1"/>
      <w:marLeft w:val="0"/>
      <w:marRight w:val="0"/>
      <w:marTop w:val="0"/>
      <w:marBottom w:val="0"/>
      <w:divBdr>
        <w:top w:val="none" w:sz="0" w:space="0" w:color="auto"/>
        <w:left w:val="none" w:sz="0" w:space="0" w:color="auto"/>
        <w:bottom w:val="none" w:sz="0" w:space="0" w:color="auto"/>
        <w:right w:val="none" w:sz="0" w:space="0" w:color="auto"/>
      </w:divBdr>
    </w:div>
    <w:div w:id="1249734646">
      <w:bodyDiv w:val="1"/>
      <w:marLeft w:val="0"/>
      <w:marRight w:val="0"/>
      <w:marTop w:val="0"/>
      <w:marBottom w:val="0"/>
      <w:divBdr>
        <w:top w:val="none" w:sz="0" w:space="0" w:color="auto"/>
        <w:left w:val="none" w:sz="0" w:space="0" w:color="auto"/>
        <w:bottom w:val="none" w:sz="0" w:space="0" w:color="auto"/>
        <w:right w:val="none" w:sz="0" w:space="0" w:color="auto"/>
      </w:divBdr>
    </w:div>
    <w:div w:id="1293175122">
      <w:bodyDiv w:val="1"/>
      <w:marLeft w:val="0"/>
      <w:marRight w:val="0"/>
      <w:marTop w:val="0"/>
      <w:marBottom w:val="0"/>
      <w:divBdr>
        <w:top w:val="none" w:sz="0" w:space="0" w:color="auto"/>
        <w:left w:val="none" w:sz="0" w:space="0" w:color="auto"/>
        <w:bottom w:val="none" w:sz="0" w:space="0" w:color="auto"/>
        <w:right w:val="none" w:sz="0" w:space="0" w:color="auto"/>
      </w:divBdr>
    </w:div>
    <w:div w:id="1306667361">
      <w:bodyDiv w:val="1"/>
      <w:marLeft w:val="0"/>
      <w:marRight w:val="0"/>
      <w:marTop w:val="0"/>
      <w:marBottom w:val="0"/>
      <w:divBdr>
        <w:top w:val="none" w:sz="0" w:space="0" w:color="auto"/>
        <w:left w:val="none" w:sz="0" w:space="0" w:color="auto"/>
        <w:bottom w:val="none" w:sz="0" w:space="0" w:color="auto"/>
        <w:right w:val="none" w:sz="0" w:space="0" w:color="auto"/>
      </w:divBdr>
    </w:div>
    <w:div w:id="1307314669">
      <w:bodyDiv w:val="1"/>
      <w:marLeft w:val="0"/>
      <w:marRight w:val="0"/>
      <w:marTop w:val="0"/>
      <w:marBottom w:val="0"/>
      <w:divBdr>
        <w:top w:val="none" w:sz="0" w:space="0" w:color="auto"/>
        <w:left w:val="none" w:sz="0" w:space="0" w:color="auto"/>
        <w:bottom w:val="none" w:sz="0" w:space="0" w:color="auto"/>
        <w:right w:val="none" w:sz="0" w:space="0" w:color="auto"/>
      </w:divBdr>
    </w:div>
    <w:div w:id="1351175772">
      <w:bodyDiv w:val="1"/>
      <w:marLeft w:val="0"/>
      <w:marRight w:val="0"/>
      <w:marTop w:val="0"/>
      <w:marBottom w:val="0"/>
      <w:divBdr>
        <w:top w:val="none" w:sz="0" w:space="0" w:color="auto"/>
        <w:left w:val="none" w:sz="0" w:space="0" w:color="auto"/>
        <w:bottom w:val="none" w:sz="0" w:space="0" w:color="auto"/>
        <w:right w:val="none" w:sz="0" w:space="0" w:color="auto"/>
      </w:divBdr>
    </w:div>
    <w:div w:id="1351954946">
      <w:bodyDiv w:val="1"/>
      <w:marLeft w:val="0"/>
      <w:marRight w:val="0"/>
      <w:marTop w:val="0"/>
      <w:marBottom w:val="0"/>
      <w:divBdr>
        <w:top w:val="none" w:sz="0" w:space="0" w:color="auto"/>
        <w:left w:val="none" w:sz="0" w:space="0" w:color="auto"/>
        <w:bottom w:val="none" w:sz="0" w:space="0" w:color="auto"/>
        <w:right w:val="none" w:sz="0" w:space="0" w:color="auto"/>
      </w:divBdr>
    </w:div>
    <w:div w:id="1393774969">
      <w:bodyDiv w:val="1"/>
      <w:marLeft w:val="0"/>
      <w:marRight w:val="0"/>
      <w:marTop w:val="0"/>
      <w:marBottom w:val="0"/>
      <w:divBdr>
        <w:top w:val="none" w:sz="0" w:space="0" w:color="auto"/>
        <w:left w:val="none" w:sz="0" w:space="0" w:color="auto"/>
        <w:bottom w:val="none" w:sz="0" w:space="0" w:color="auto"/>
        <w:right w:val="none" w:sz="0" w:space="0" w:color="auto"/>
      </w:divBdr>
    </w:div>
    <w:div w:id="1495099378">
      <w:bodyDiv w:val="1"/>
      <w:marLeft w:val="0"/>
      <w:marRight w:val="0"/>
      <w:marTop w:val="0"/>
      <w:marBottom w:val="0"/>
      <w:divBdr>
        <w:top w:val="none" w:sz="0" w:space="0" w:color="auto"/>
        <w:left w:val="none" w:sz="0" w:space="0" w:color="auto"/>
        <w:bottom w:val="none" w:sz="0" w:space="0" w:color="auto"/>
        <w:right w:val="none" w:sz="0" w:space="0" w:color="auto"/>
      </w:divBdr>
    </w:div>
    <w:div w:id="1508137464">
      <w:bodyDiv w:val="1"/>
      <w:marLeft w:val="0"/>
      <w:marRight w:val="0"/>
      <w:marTop w:val="0"/>
      <w:marBottom w:val="0"/>
      <w:divBdr>
        <w:top w:val="none" w:sz="0" w:space="0" w:color="auto"/>
        <w:left w:val="none" w:sz="0" w:space="0" w:color="auto"/>
        <w:bottom w:val="none" w:sz="0" w:space="0" w:color="auto"/>
        <w:right w:val="none" w:sz="0" w:space="0" w:color="auto"/>
      </w:divBdr>
    </w:div>
    <w:div w:id="1521890799">
      <w:bodyDiv w:val="1"/>
      <w:marLeft w:val="0"/>
      <w:marRight w:val="0"/>
      <w:marTop w:val="0"/>
      <w:marBottom w:val="0"/>
      <w:divBdr>
        <w:top w:val="none" w:sz="0" w:space="0" w:color="auto"/>
        <w:left w:val="none" w:sz="0" w:space="0" w:color="auto"/>
        <w:bottom w:val="none" w:sz="0" w:space="0" w:color="auto"/>
        <w:right w:val="none" w:sz="0" w:space="0" w:color="auto"/>
      </w:divBdr>
    </w:div>
    <w:div w:id="1528790112">
      <w:bodyDiv w:val="1"/>
      <w:marLeft w:val="0"/>
      <w:marRight w:val="0"/>
      <w:marTop w:val="0"/>
      <w:marBottom w:val="0"/>
      <w:divBdr>
        <w:top w:val="none" w:sz="0" w:space="0" w:color="auto"/>
        <w:left w:val="none" w:sz="0" w:space="0" w:color="auto"/>
        <w:bottom w:val="none" w:sz="0" w:space="0" w:color="auto"/>
        <w:right w:val="none" w:sz="0" w:space="0" w:color="auto"/>
      </w:divBdr>
    </w:div>
    <w:div w:id="1553347500">
      <w:bodyDiv w:val="1"/>
      <w:marLeft w:val="0"/>
      <w:marRight w:val="0"/>
      <w:marTop w:val="0"/>
      <w:marBottom w:val="0"/>
      <w:divBdr>
        <w:top w:val="none" w:sz="0" w:space="0" w:color="auto"/>
        <w:left w:val="none" w:sz="0" w:space="0" w:color="auto"/>
        <w:bottom w:val="none" w:sz="0" w:space="0" w:color="auto"/>
        <w:right w:val="none" w:sz="0" w:space="0" w:color="auto"/>
      </w:divBdr>
    </w:div>
    <w:div w:id="1562322900">
      <w:bodyDiv w:val="1"/>
      <w:marLeft w:val="0"/>
      <w:marRight w:val="0"/>
      <w:marTop w:val="0"/>
      <w:marBottom w:val="0"/>
      <w:divBdr>
        <w:top w:val="none" w:sz="0" w:space="0" w:color="auto"/>
        <w:left w:val="none" w:sz="0" w:space="0" w:color="auto"/>
        <w:bottom w:val="none" w:sz="0" w:space="0" w:color="auto"/>
        <w:right w:val="none" w:sz="0" w:space="0" w:color="auto"/>
      </w:divBdr>
    </w:div>
    <w:div w:id="1657149961">
      <w:bodyDiv w:val="1"/>
      <w:marLeft w:val="0"/>
      <w:marRight w:val="0"/>
      <w:marTop w:val="0"/>
      <w:marBottom w:val="0"/>
      <w:divBdr>
        <w:top w:val="none" w:sz="0" w:space="0" w:color="auto"/>
        <w:left w:val="none" w:sz="0" w:space="0" w:color="auto"/>
        <w:bottom w:val="none" w:sz="0" w:space="0" w:color="auto"/>
        <w:right w:val="none" w:sz="0" w:space="0" w:color="auto"/>
      </w:divBdr>
    </w:div>
    <w:div w:id="1659528993">
      <w:bodyDiv w:val="1"/>
      <w:marLeft w:val="0"/>
      <w:marRight w:val="0"/>
      <w:marTop w:val="0"/>
      <w:marBottom w:val="0"/>
      <w:divBdr>
        <w:top w:val="none" w:sz="0" w:space="0" w:color="auto"/>
        <w:left w:val="none" w:sz="0" w:space="0" w:color="auto"/>
        <w:bottom w:val="none" w:sz="0" w:space="0" w:color="auto"/>
        <w:right w:val="none" w:sz="0" w:space="0" w:color="auto"/>
      </w:divBdr>
    </w:div>
    <w:div w:id="1725789830">
      <w:bodyDiv w:val="1"/>
      <w:marLeft w:val="0"/>
      <w:marRight w:val="0"/>
      <w:marTop w:val="0"/>
      <w:marBottom w:val="0"/>
      <w:divBdr>
        <w:top w:val="none" w:sz="0" w:space="0" w:color="auto"/>
        <w:left w:val="none" w:sz="0" w:space="0" w:color="auto"/>
        <w:bottom w:val="none" w:sz="0" w:space="0" w:color="auto"/>
        <w:right w:val="none" w:sz="0" w:space="0" w:color="auto"/>
      </w:divBdr>
    </w:div>
    <w:div w:id="1727415952">
      <w:bodyDiv w:val="1"/>
      <w:marLeft w:val="0"/>
      <w:marRight w:val="0"/>
      <w:marTop w:val="0"/>
      <w:marBottom w:val="0"/>
      <w:divBdr>
        <w:top w:val="none" w:sz="0" w:space="0" w:color="auto"/>
        <w:left w:val="none" w:sz="0" w:space="0" w:color="auto"/>
        <w:bottom w:val="none" w:sz="0" w:space="0" w:color="auto"/>
        <w:right w:val="none" w:sz="0" w:space="0" w:color="auto"/>
      </w:divBdr>
    </w:div>
    <w:div w:id="1731417033">
      <w:bodyDiv w:val="1"/>
      <w:marLeft w:val="0"/>
      <w:marRight w:val="0"/>
      <w:marTop w:val="0"/>
      <w:marBottom w:val="0"/>
      <w:divBdr>
        <w:top w:val="none" w:sz="0" w:space="0" w:color="auto"/>
        <w:left w:val="none" w:sz="0" w:space="0" w:color="auto"/>
        <w:bottom w:val="none" w:sz="0" w:space="0" w:color="auto"/>
        <w:right w:val="none" w:sz="0" w:space="0" w:color="auto"/>
      </w:divBdr>
    </w:div>
    <w:div w:id="1738746355">
      <w:bodyDiv w:val="1"/>
      <w:marLeft w:val="0"/>
      <w:marRight w:val="0"/>
      <w:marTop w:val="0"/>
      <w:marBottom w:val="0"/>
      <w:divBdr>
        <w:top w:val="none" w:sz="0" w:space="0" w:color="auto"/>
        <w:left w:val="none" w:sz="0" w:space="0" w:color="auto"/>
        <w:bottom w:val="none" w:sz="0" w:space="0" w:color="auto"/>
        <w:right w:val="none" w:sz="0" w:space="0" w:color="auto"/>
      </w:divBdr>
    </w:div>
    <w:div w:id="1750075769">
      <w:bodyDiv w:val="1"/>
      <w:marLeft w:val="0"/>
      <w:marRight w:val="0"/>
      <w:marTop w:val="0"/>
      <w:marBottom w:val="0"/>
      <w:divBdr>
        <w:top w:val="none" w:sz="0" w:space="0" w:color="auto"/>
        <w:left w:val="none" w:sz="0" w:space="0" w:color="auto"/>
        <w:bottom w:val="none" w:sz="0" w:space="0" w:color="auto"/>
        <w:right w:val="none" w:sz="0" w:space="0" w:color="auto"/>
      </w:divBdr>
    </w:div>
    <w:div w:id="1790004371">
      <w:bodyDiv w:val="1"/>
      <w:marLeft w:val="0"/>
      <w:marRight w:val="0"/>
      <w:marTop w:val="0"/>
      <w:marBottom w:val="0"/>
      <w:divBdr>
        <w:top w:val="none" w:sz="0" w:space="0" w:color="auto"/>
        <w:left w:val="none" w:sz="0" w:space="0" w:color="auto"/>
        <w:bottom w:val="none" w:sz="0" w:space="0" w:color="auto"/>
        <w:right w:val="none" w:sz="0" w:space="0" w:color="auto"/>
      </w:divBdr>
    </w:div>
    <w:div w:id="1803379098">
      <w:bodyDiv w:val="1"/>
      <w:marLeft w:val="0"/>
      <w:marRight w:val="0"/>
      <w:marTop w:val="0"/>
      <w:marBottom w:val="0"/>
      <w:divBdr>
        <w:top w:val="none" w:sz="0" w:space="0" w:color="auto"/>
        <w:left w:val="none" w:sz="0" w:space="0" w:color="auto"/>
        <w:bottom w:val="none" w:sz="0" w:space="0" w:color="auto"/>
        <w:right w:val="none" w:sz="0" w:space="0" w:color="auto"/>
      </w:divBdr>
    </w:div>
    <w:div w:id="1863084199">
      <w:bodyDiv w:val="1"/>
      <w:marLeft w:val="0"/>
      <w:marRight w:val="0"/>
      <w:marTop w:val="0"/>
      <w:marBottom w:val="0"/>
      <w:divBdr>
        <w:top w:val="none" w:sz="0" w:space="0" w:color="auto"/>
        <w:left w:val="none" w:sz="0" w:space="0" w:color="auto"/>
        <w:bottom w:val="none" w:sz="0" w:space="0" w:color="auto"/>
        <w:right w:val="none" w:sz="0" w:space="0" w:color="auto"/>
      </w:divBdr>
    </w:div>
    <w:div w:id="1866670255">
      <w:bodyDiv w:val="1"/>
      <w:marLeft w:val="0"/>
      <w:marRight w:val="0"/>
      <w:marTop w:val="0"/>
      <w:marBottom w:val="0"/>
      <w:divBdr>
        <w:top w:val="none" w:sz="0" w:space="0" w:color="auto"/>
        <w:left w:val="none" w:sz="0" w:space="0" w:color="auto"/>
        <w:bottom w:val="none" w:sz="0" w:space="0" w:color="auto"/>
        <w:right w:val="none" w:sz="0" w:space="0" w:color="auto"/>
      </w:divBdr>
    </w:div>
    <w:div w:id="1891459977">
      <w:bodyDiv w:val="1"/>
      <w:marLeft w:val="0"/>
      <w:marRight w:val="0"/>
      <w:marTop w:val="0"/>
      <w:marBottom w:val="0"/>
      <w:divBdr>
        <w:top w:val="none" w:sz="0" w:space="0" w:color="auto"/>
        <w:left w:val="none" w:sz="0" w:space="0" w:color="auto"/>
        <w:bottom w:val="none" w:sz="0" w:space="0" w:color="auto"/>
        <w:right w:val="none" w:sz="0" w:space="0" w:color="auto"/>
      </w:divBdr>
    </w:div>
    <w:div w:id="1893230654">
      <w:bodyDiv w:val="1"/>
      <w:marLeft w:val="0"/>
      <w:marRight w:val="0"/>
      <w:marTop w:val="0"/>
      <w:marBottom w:val="0"/>
      <w:divBdr>
        <w:top w:val="none" w:sz="0" w:space="0" w:color="auto"/>
        <w:left w:val="none" w:sz="0" w:space="0" w:color="auto"/>
        <w:bottom w:val="none" w:sz="0" w:space="0" w:color="auto"/>
        <w:right w:val="none" w:sz="0" w:space="0" w:color="auto"/>
      </w:divBdr>
    </w:div>
    <w:div w:id="1894730805">
      <w:bodyDiv w:val="1"/>
      <w:marLeft w:val="0"/>
      <w:marRight w:val="0"/>
      <w:marTop w:val="0"/>
      <w:marBottom w:val="0"/>
      <w:divBdr>
        <w:top w:val="none" w:sz="0" w:space="0" w:color="auto"/>
        <w:left w:val="none" w:sz="0" w:space="0" w:color="auto"/>
        <w:bottom w:val="none" w:sz="0" w:space="0" w:color="auto"/>
        <w:right w:val="none" w:sz="0" w:space="0" w:color="auto"/>
      </w:divBdr>
    </w:div>
    <w:div w:id="1930112600">
      <w:bodyDiv w:val="1"/>
      <w:marLeft w:val="0"/>
      <w:marRight w:val="0"/>
      <w:marTop w:val="0"/>
      <w:marBottom w:val="0"/>
      <w:divBdr>
        <w:top w:val="none" w:sz="0" w:space="0" w:color="auto"/>
        <w:left w:val="none" w:sz="0" w:space="0" w:color="auto"/>
        <w:bottom w:val="none" w:sz="0" w:space="0" w:color="auto"/>
        <w:right w:val="none" w:sz="0" w:space="0" w:color="auto"/>
      </w:divBdr>
    </w:div>
    <w:div w:id="1983803452">
      <w:bodyDiv w:val="1"/>
      <w:marLeft w:val="0"/>
      <w:marRight w:val="0"/>
      <w:marTop w:val="0"/>
      <w:marBottom w:val="0"/>
      <w:divBdr>
        <w:top w:val="none" w:sz="0" w:space="0" w:color="auto"/>
        <w:left w:val="none" w:sz="0" w:space="0" w:color="auto"/>
        <w:bottom w:val="none" w:sz="0" w:space="0" w:color="auto"/>
        <w:right w:val="none" w:sz="0" w:space="0" w:color="auto"/>
      </w:divBdr>
    </w:div>
    <w:div w:id="20531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FB0C4-8A6F-47E0-A646-F9002B06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halton</dc:creator>
  <cp:lastModifiedBy>Louise Mattinson</cp:lastModifiedBy>
  <cp:revision>4</cp:revision>
  <cp:lastPrinted>2018-02-20T10:01:00Z</cp:lastPrinted>
  <dcterms:created xsi:type="dcterms:W3CDTF">2022-02-15T11:35:00Z</dcterms:created>
  <dcterms:modified xsi:type="dcterms:W3CDTF">2022-02-15T15:12:00Z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39741256</vt:i4>
  </property>
  <property fmtid="{D5CDD505-2E9C-101B-9397-08002B2CF9AE}" pid="3" name="_NewReviewCycle">
    <vt:lpwstr/>
  </property>
  <property fmtid="{D5CDD505-2E9C-101B-9397-08002B2CF9AE}" pid="4" name="_EmailSubject">
    <vt:lpwstr>Appendix E Report of the Statutory Finance Office</vt:lpwstr>
  </property>
  <property fmtid="{D5CDD505-2E9C-101B-9397-08002B2CF9AE}" pid="5" name="_AuthorEmail">
    <vt:lpwstr>susan.halton@chorley.gov.uk</vt:lpwstr>
  </property>
  <property fmtid="{D5CDD505-2E9C-101B-9397-08002B2CF9AE}" pid="6" name="_AuthorEmailDisplayName">
    <vt:lpwstr>Susan Halton</vt:lpwstr>
  </property>
  <property fmtid="{D5CDD505-2E9C-101B-9397-08002B2CF9AE}" pid="7" name="_PreviousAdHocReviewCycleID">
    <vt:i4>2016551145</vt:i4>
  </property>
  <property fmtid="{D5CDD505-2E9C-101B-9397-08002B2CF9AE}" pid="8" name="_ReviewingToolsShownOnce">
    <vt:lpwstr/>
  </property>
</Properties>
</file>